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75" w:rsidRDefault="009A5175" w:rsidP="009A5175">
      <w:pPr>
        <w:pStyle w:val="NormalWeb"/>
        <w:shd w:val="clear" w:color="auto" w:fill="FFFFFF"/>
        <w:jc w:val="center"/>
        <w:rPr>
          <w:rFonts w:ascii="Arial" w:hAnsi="Arial" w:cs="Arial"/>
          <w:color w:val="000000"/>
          <w:sz w:val="27"/>
          <w:szCs w:val="27"/>
        </w:rPr>
      </w:pPr>
      <w:bookmarkStart w:id="0" w:name="_GoBack"/>
      <w:bookmarkEnd w:id="0"/>
      <w:r>
        <w:rPr>
          <w:rStyle w:val="Textoennegrita"/>
          <w:rFonts w:ascii="Arial" w:hAnsi="Arial" w:cs="Arial"/>
          <w:color w:val="000000"/>
          <w:sz w:val="27"/>
          <w:szCs w:val="27"/>
        </w:rPr>
        <w:t>LEY 819 DE 2003</w:t>
      </w:r>
    </w:p>
    <w:p w:rsidR="009A5175" w:rsidRDefault="009A5175" w:rsidP="009A5175">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(Julio 9)</w:t>
      </w:r>
    </w:p>
    <w:p w:rsidR="009A5175" w:rsidRDefault="009A5175" w:rsidP="009A5175">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Por la cual se dictan normas orgánicas en materia de presupuesto, responsabilidad y transparencia fiscal y se dictan otras disposiciones.</w:t>
      </w:r>
    </w:p>
    <w:p w:rsidR="009A5175" w:rsidRDefault="009A5175" w:rsidP="009A5175">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El Congreso de Colombia</w:t>
      </w:r>
    </w:p>
    <w:p w:rsidR="009A5175" w:rsidRDefault="00B91804" w:rsidP="009A5175">
      <w:pPr>
        <w:pStyle w:val="NormalWeb"/>
        <w:rPr>
          <w:rFonts w:ascii="Arial" w:hAnsi="Arial" w:cs="Arial"/>
          <w:color w:val="000000"/>
          <w:sz w:val="27"/>
          <w:szCs w:val="27"/>
          <w:shd w:val="clear" w:color="auto" w:fill="FFFFFF"/>
        </w:rPr>
      </w:pPr>
      <w:hyperlink r:id="rId4" w:anchor="0" w:history="1">
        <w:r w:rsidR="009A5175">
          <w:rPr>
            <w:rStyle w:val="Hipervnculo"/>
            <w:rFonts w:ascii="Arial" w:hAnsi="Arial" w:cs="Arial"/>
            <w:sz w:val="27"/>
            <w:szCs w:val="27"/>
            <w:shd w:val="clear" w:color="auto" w:fill="FFFFFF"/>
          </w:rPr>
          <w:t>Ver el Decreto Nacional 111 de 1996</w:t>
        </w:r>
      </w:hyperlink>
      <w:r w:rsidR="009A5175">
        <w:rPr>
          <w:rFonts w:ascii="Arial" w:hAnsi="Arial" w:cs="Arial"/>
          <w:color w:val="000000"/>
          <w:sz w:val="27"/>
          <w:szCs w:val="27"/>
          <w:shd w:val="clear" w:color="auto" w:fill="FFFFFF"/>
        </w:rPr>
        <w:t>,</w:t>
      </w:r>
      <w:r w:rsidR="009A5175">
        <w:rPr>
          <w:rStyle w:val="apple-converted-space"/>
          <w:rFonts w:ascii="Arial" w:hAnsi="Arial" w:cs="Arial"/>
          <w:color w:val="000000"/>
          <w:sz w:val="27"/>
          <w:szCs w:val="27"/>
          <w:shd w:val="clear" w:color="auto" w:fill="FFFFFF"/>
        </w:rPr>
        <w:t> </w:t>
      </w:r>
      <w:hyperlink r:id="rId5" w:anchor="0" w:history="1">
        <w:r w:rsidR="009A5175">
          <w:rPr>
            <w:rStyle w:val="Hipervnculo"/>
            <w:rFonts w:ascii="Arial" w:hAnsi="Arial" w:cs="Arial"/>
            <w:sz w:val="27"/>
            <w:szCs w:val="27"/>
            <w:shd w:val="clear" w:color="auto" w:fill="FFFFFF"/>
          </w:rPr>
          <w:t>Ver el Acuerdo Distrital 457 de 2010</w:t>
        </w:r>
      </w:hyperlink>
      <w:r w:rsidR="009A5175">
        <w:rPr>
          <w:rFonts w:ascii="Arial" w:hAnsi="Arial" w:cs="Arial"/>
          <w:color w:val="000000"/>
          <w:sz w:val="27"/>
          <w:szCs w:val="27"/>
          <w:shd w:val="clear" w:color="auto" w:fill="FFFFFF"/>
        </w:rPr>
        <w:t>,</w:t>
      </w:r>
      <w:r w:rsidR="009A5175">
        <w:rPr>
          <w:rStyle w:val="apple-converted-space"/>
          <w:rFonts w:ascii="Arial" w:hAnsi="Arial" w:cs="Arial"/>
          <w:color w:val="000000"/>
          <w:sz w:val="27"/>
          <w:szCs w:val="27"/>
          <w:shd w:val="clear" w:color="auto" w:fill="FFFFFF"/>
        </w:rPr>
        <w:t> </w:t>
      </w:r>
      <w:hyperlink r:id="rId6" w:anchor="30" w:history="1">
        <w:r w:rsidR="009A5175">
          <w:rPr>
            <w:rStyle w:val="Hipervnculo"/>
            <w:rFonts w:ascii="Arial" w:hAnsi="Arial" w:cs="Arial"/>
            <w:sz w:val="27"/>
            <w:szCs w:val="27"/>
            <w:shd w:val="clear" w:color="auto" w:fill="FFFFFF"/>
          </w:rPr>
          <w:t>Ver el art. 30, Ley 1454 de 2011</w:t>
        </w:r>
      </w:hyperlink>
      <w:r w:rsidR="009A5175">
        <w:rPr>
          <w:rFonts w:ascii="Arial" w:hAnsi="Arial" w:cs="Arial"/>
          <w:color w:val="000000"/>
          <w:sz w:val="27"/>
          <w:szCs w:val="27"/>
          <w:shd w:val="clear" w:color="auto" w:fill="FFFFFF"/>
        </w:rPr>
        <w:t>,</w:t>
      </w:r>
      <w:r w:rsidR="009A5175">
        <w:rPr>
          <w:rStyle w:val="apple-converted-space"/>
          <w:rFonts w:ascii="Arial" w:hAnsi="Arial" w:cs="Arial"/>
          <w:color w:val="000000"/>
          <w:sz w:val="27"/>
          <w:szCs w:val="27"/>
          <w:shd w:val="clear" w:color="auto" w:fill="FFFFFF"/>
        </w:rPr>
        <w:t> </w:t>
      </w:r>
      <w:hyperlink r:id="rId7" w:anchor="0" w:history="1">
        <w:r w:rsidR="009A5175">
          <w:rPr>
            <w:rStyle w:val="Hipervnculo"/>
            <w:rFonts w:ascii="Arial" w:hAnsi="Arial" w:cs="Arial"/>
            <w:sz w:val="27"/>
            <w:szCs w:val="27"/>
            <w:shd w:val="clear" w:color="auto" w:fill="FFFFFF"/>
          </w:rPr>
          <w:t>Ver  Ley 1483 de 2011</w:t>
        </w:r>
      </w:hyperlink>
      <w:r w:rsidR="009A5175">
        <w:rPr>
          <w:rStyle w:val="apple-converted-space"/>
          <w:rFonts w:ascii="Arial" w:hAnsi="Arial" w:cs="Arial"/>
          <w:color w:val="000000"/>
          <w:sz w:val="27"/>
          <w:szCs w:val="27"/>
          <w:shd w:val="clear" w:color="auto" w:fill="FFFFFF"/>
        </w:rPr>
        <w:t> </w:t>
      </w:r>
      <w:r w:rsidR="009A5175">
        <w:rPr>
          <w:rFonts w:ascii="Arial" w:hAnsi="Arial" w:cs="Arial"/>
          <w:color w:val="000000"/>
          <w:sz w:val="27"/>
          <w:szCs w:val="27"/>
          <w:shd w:val="clear" w:color="auto" w:fill="FFFFFF"/>
        </w:rPr>
        <w:t>,</w:t>
      </w:r>
      <w:r w:rsidR="009A5175">
        <w:rPr>
          <w:rStyle w:val="apple-converted-space"/>
          <w:rFonts w:ascii="Arial" w:hAnsi="Arial" w:cs="Arial"/>
          <w:color w:val="000000"/>
          <w:sz w:val="27"/>
          <w:szCs w:val="27"/>
          <w:shd w:val="clear" w:color="auto" w:fill="FFFFFF"/>
        </w:rPr>
        <w:t> </w:t>
      </w:r>
      <w:hyperlink r:id="rId8" w:anchor="0" w:history="1">
        <w:r w:rsidR="009A5175">
          <w:rPr>
            <w:rStyle w:val="Hipervnculo"/>
            <w:rFonts w:ascii="Arial" w:hAnsi="Arial" w:cs="Arial"/>
            <w:sz w:val="27"/>
            <w:szCs w:val="27"/>
            <w:shd w:val="clear" w:color="auto" w:fill="FFFFFF"/>
          </w:rPr>
          <w:t>Ver Ley 1593 de 2012</w:t>
        </w:r>
      </w:hyperlink>
      <w:r w:rsidR="009A5175">
        <w:rPr>
          <w:rFonts w:ascii="Arial" w:hAnsi="Arial" w:cs="Arial"/>
          <w:color w:val="000000"/>
          <w:sz w:val="27"/>
          <w:szCs w:val="27"/>
          <w:shd w:val="clear" w:color="auto" w:fill="FFFFFF"/>
        </w:rPr>
        <w:t>.</w:t>
      </w:r>
    </w:p>
    <w:p w:rsidR="009A5175" w:rsidRDefault="009A5175" w:rsidP="009A5175">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DECRETA:</w:t>
      </w:r>
    </w:p>
    <w:p w:rsidR="009A5175" w:rsidRDefault="009A5175" w:rsidP="009A5175">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CAPITULO I</w:t>
      </w:r>
    </w:p>
    <w:p w:rsidR="009A5175" w:rsidRDefault="009A5175" w:rsidP="009A5175">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Normas orgánicas de presupuesto para la transparencia fiscal y la estabilidad macroeconómica</w:t>
      </w:r>
    </w:p>
    <w:p w:rsidR="009A5175" w:rsidRDefault="009A5175" w:rsidP="009A5175">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Artículo </w:t>
      </w:r>
      <w:bookmarkStart w:id="1" w:name="1"/>
      <w:r>
        <w:rPr>
          <w:rStyle w:val="Textoennegrita"/>
          <w:rFonts w:ascii="Arial" w:hAnsi="Arial" w:cs="Arial"/>
          <w:color w:val="000000"/>
          <w:sz w:val="27"/>
          <w:szCs w:val="27"/>
        </w:rPr>
        <w:t> </w:t>
      </w:r>
      <w:bookmarkEnd w:id="1"/>
      <w:r>
        <w:rPr>
          <w:rStyle w:val="Textoennegrita"/>
          <w:rFonts w:ascii="Arial" w:hAnsi="Arial" w:cs="Arial"/>
          <w:color w:val="000000"/>
          <w:sz w:val="27"/>
          <w:szCs w:val="27"/>
        </w:rPr>
        <w:t>1º</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Marco fiscal de mediano plazo.</w:t>
      </w:r>
      <w:r>
        <w:rPr>
          <w:rStyle w:val="apple-converted-space"/>
          <w:rFonts w:ascii="Arial" w:hAnsi="Arial" w:cs="Arial"/>
          <w:i/>
          <w:iCs/>
          <w:color w:val="000000"/>
          <w:sz w:val="27"/>
          <w:szCs w:val="27"/>
        </w:rPr>
        <w:t> </w:t>
      </w:r>
      <w:r>
        <w:rPr>
          <w:rFonts w:ascii="Arial" w:hAnsi="Arial" w:cs="Arial"/>
          <w:color w:val="000000"/>
          <w:sz w:val="27"/>
          <w:szCs w:val="27"/>
        </w:rPr>
        <w:t>Antes del 15 de junio de cada vigencia fiscal, el Gobierno Nacional, presentará a las Comisiones Económicas del Senado y de la Cámara de Representantes, un Marco Fiscal de Mediano Plazo, el cual será estudiado y discutido con prioridad durante el primer debate de la Ley Anual de Presupuesto.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Este Marco contendrá, como mínimo: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a) El Plan Financiero contenido en el artículo 4º de la Ley 38 de 1989, modificado por el inciso 5 del artículo 55 de la Ley 179 de 1994;</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b) Un programa macroeconómico plurianual;</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c) Las metas de superávit primario a que hace referencia el artículo 2º de la presente ley, así como el nivel de deuda pública y un análisis de su sostenibilidad;</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 xml:space="preserve">d) Un informe de resultados macroeconómicos y fiscales de la vigencia fiscal anterior. Este informe debe incluir, en caso de incumplimiento de las metas fijadas en el Marco Fiscal de Mediano Plazo del año anterior, una explicación de cualquier desviación respecto a las metas y las medidas necesarias para corregirlas. Si se ha incumplido la meta de </w:t>
      </w:r>
      <w:r>
        <w:rPr>
          <w:rFonts w:ascii="Arial" w:hAnsi="Arial" w:cs="Arial"/>
          <w:color w:val="000000"/>
          <w:sz w:val="27"/>
          <w:szCs w:val="27"/>
        </w:rPr>
        <w:lastRenderedPageBreak/>
        <w:t>superávit primario del año anterior, el nuevo Marco Fiscal de Mediano Plazo tiene que reflejar un ajuste tal que garantice la sostenibilidad de la deuda pública;</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 xml:space="preserve">e) Una evaluación de las principales actividades </w:t>
      </w:r>
      <w:proofErr w:type="spellStart"/>
      <w:r>
        <w:rPr>
          <w:rFonts w:ascii="Arial" w:hAnsi="Arial" w:cs="Arial"/>
          <w:color w:val="000000"/>
          <w:sz w:val="27"/>
          <w:szCs w:val="27"/>
        </w:rPr>
        <w:t>cuasifiscales</w:t>
      </w:r>
      <w:proofErr w:type="spellEnd"/>
      <w:r>
        <w:rPr>
          <w:rFonts w:ascii="Arial" w:hAnsi="Arial" w:cs="Arial"/>
          <w:color w:val="000000"/>
          <w:sz w:val="27"/>
          <w:szCs w:val="27"/>
        </w:rPr>
        <w:t xml:space="preserve"> realizadas por el sector público;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f) Una estimación del costo fiscal de las exenciones, deducciones o descuentos tributarios existentes;</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g) El costo fiscal de las leyes sancionadas en la vigencia fiscal anterior;</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h) Una relación de los pasivos contingentes que pudieran afectar la situación financiera de la Nación;</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i) En todo presupuesto se deben incluir indicadores de gestión presupuestal y de resultado de los objetivos, planes y programas desagregados para mayor control del presupuesto.</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2º</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Superávit primario y sostenibilidad</w:t>
      </w:r>
      <w:r>
        <w:rPr>
          <w:rFonts w:ascii="Arial" w:hAnsi="Arial" w:cs="Arial"/>
          <w:color w:val="000000"/>
          <w:sz w:val="27"/>
          <w:szCs w:val="27"/>
        </w:rPr>
        <w:t xml:space="preserve">. Cada año el Gobierno Nacional determinará para la vigencia fiscal siguiente una meta de superávit primario para el sector público no financiero consistente con el programa macroeconómico, y metas indicativas para los superávit primarios de las diez (10) vigencias fiscales siguientes. Todo ello con el fin de garantizar la sostenibilidad de la deuda y el crecimiento económico. Dicha meta será aprobada por el Consejo Nacional de Política Económica y Social, </w:t>
      </w:r>
      <w:proofErr w:type="spellStart"/>
      <w:r>
        <w:rPr>
          <w:rFonts w:ascii="Arial" w:hAnsi="Arial" w:cs="Arial"/>
          <w:color w:val="000000"/>
          <w:sz w:val="27"/>
          <w:szCs w:val="27"/>
        </w:rPr>
        <w:t>Conpes</w:t>
      </w:r>
      <w:proofErr w:type="spellEnd"/>
      <w:r>
        <w:rPr>
          <w:rFonts w:ascii="Arial" w:hAnsi="Arial" w:cs="Arial"/>
          <w:color w:val="000000"/>
          <w:sz w:val="27"/>
          <w:szCs w:val="27"/>
        </w:rPr>
        <w:t xml:space="preserve">, previo concepto del Consejo Superior de Política Fiscal, </w:t>
      </w:r>
      <w:proofErr w:type="spellStart"/>
      <w:r>
        <w:rPr>
          <w:rFonts w:ascii="Arial" w:hAnsi="Arial" w:cs="Arial"/>
          <w:color w:val="000000"/>
          <w:sz w:val="27"/>
          <w:szCs w:val="27"/>
        </w:rPr>
        <w:t>Confis</w:t>
      </w:r>
      <w:proofErr w:type="spellEnd"/>
      <w:r>
        <w:rPr>
          <w:rFonts w:ascii="Arial" w:hAnsi="Arial" w:cs="Arial"/>
          <w:color w:val="000000"/>
          <w:sz w:val="27"/>
          <w:szCs w:val="27"/>
        </w:rPr>
        <w:t>.</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Las metas de superávit primario ajustadas por el ciclo económico, en promedio, no podrán ser inferiores al superávit primario estructural que garantiza la sostenibilidad de la deuda.</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La elaboración de la meta de superávit primario tendrá en cuenta supuestos macroeconómicos, tales como tasas de interés, inflación, crecimiento económico y tasa de cambio, determinados por el Ministerio de Hacienda y Crédito Público, el Departamento Nacional de Planeación, y el Banco de la República.</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 xml:space="preserve">Sin perjuicio de los límites a los gastos de funcionamiento establecidos en la Ley 617 de 2000, o en aquellas leyes que la modifiquen o adicionen, los departamentos, distritos y municipios de categorías </w:t>
      </w:r>
      <w:r>
        <w:rPr>
          <w:rFonts w:ascii="Arial" w:hAnsi="Arial" w:cs="Arial"/>
          <w:color w:val="000000"/>
          <w:sz w:val="27"/>
          <w:szCs w:val="27"/>
        </w:rPr>
        <w:lastRenderedPageBreak/>
        <w:t xml:space="preserve">especial, 1 y 2 deberán establecer una meta de superávit primario para cada vigencia con el fin de garantizar la sostenibilidad de su respectiva deuda de acuerdo con lo establecido en la Ley 358 de 1997 o en aquellas leyes que la modifiquen o adicionen. La meta de superávit primario que garantiza la sostenibilidad de la deuda será fijada por el </w:t>
      </w:r>
      <w:proofErr w:type="spellStart"/>
      <w:r>
        <w:rPr>
          <w:rFonts w:ascii="Arial" w:hAnsi="Arial" w:cs="Arial"/>
          <w:color w:val="000000"/>
          <w:sz w:val="27"/>
          <w:szCs w:val="27"/>
        </w:rPr>
        <w:t>Confis</w:t>
      </w:r>
      <w:proofErr w:type="spellEnd"/>
      <w:r>
        <w:rPr>
          <w:rFonts w:ascii="Arial" w:hAnsi="Arial" w:cs="Arial"/>
          <w:color w:val="000000"/>
          <w:sz w:val="27"/>
          <w:szCs w:val="27"/>
        </w:rPr>
        <w:t xml:space="preserve"> o por la Secretaría de Hacienda correspondiente y aprobado y revisado por el Consejo de Gobierno.</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w:t>
      </w:r>
      <w:r>
        <w:rPr>
          <w:rStyle w:val="apple-converted-space"/>
          <w:rFonts w:ascii="Arial" w:hAnsi="Arial" w:cs="Arial"/>
          <w:color w:val="000000"/>
          <w:sz w:val="27"/>
          <w:szCs w:val="27"/>
        </w:rPr>
        <w:t> </w:t>
      </w:r>
      <w:r>
        <w:rPr>
          <w:rFonts w:ascii="Arial" w:hAnsi="Arial" w:cs="Arial"/>
          <w:color w:val="000000"/>
          <w:sz w:val="27"/>
          <w:szCs w:val="27"/>
        </w:rPr>
        <w:t>Se entiende por superávit primario aquel valor positivo que resulta de la diferencia entre la suma de los ingresos corrientes y los recursos de capital, diferentes a desembolsos de crédito, privatizaciones, capitalizaciones, utilidades del Banco de la República (para el caso de la Nación), y la suma de los gastos de funcionamiento, inversión y gastos de operación comercial.</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2" w:name="3"/>
      <w:r>
        <w:rPr>
          <w:rFonts w:ascii="Arial" w:hAnsi="Arial" w:cs="Arial"/>
          <w:b/>
          <w:bCs/>
          <w:color w:val="000000"/>
          <w:sz w:val="27"/>
          <w:szCs w:val="27"/>
        </w:rPr>
        <w:t> </w:t>
      </w:r>
      <w:bookmarkEnd w:id="2"/>
      <w:r>
        <w:rPr>
          <w:rFonts w:ascii="Arial" w:hAnsi="Arial" w:cs="Arial"/>
          <w:b/>
          <w:bCs/>
          <w:color w:val="000000"/>
          <w:sz w:val="27"/>
          <w:szCs w:val="27"/>
        </w:rPr>
        <w:t>3º</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Pasivos contingentes. </w:t>
      </w:r>
      <w:r>
        <w:rPr>
          <w:rFonts w:ascii="Arial" w:hAnsi="Arial" w:cs="Arial"/>
          <w:color w:val="000000"/>
          <w:sz w:val="27"/>
          <w:szCs w:val="27"/>
        </w:rPr>
        <w:t> </w:t>
      </w:r>
      <w:hyperlink r:id="rId9" w:anchor="0" w:history="1">
        <w:r>
          <w:rPr>
            <w:rStyle w:val="Hipervnculo"/>
            <w:rFonts w:ascii="Arial" w:hAnsi="Arial" w:cs="Arial"/>
            <w:sz w:val="27"/>
            <w:szCs w:val="27"/>
          </w:rPr>
          <w:t>Reglamentado parcialmente por el Decreto Nacional 3800 de 2005</w:t>
        </w:r>
      </w:hyperlink>
      <w:r>
        <w:rPr>
          <w:rFonts w:ascii="Arial" w:hAnsi="Arial" w:cs="Arial"/>
          <w:color w:val="000000"/>
          <w:sz w:val="27"/>
          <w:szCs w:val="27"/>
        </w:rPr>
        <w:t>. Las valoraciones de los pasivos contingentes nuevos que resulten de la celebración de operaciones de crédito público, otros contratos administrativos y sentencias y conciliaciones cuyo perfeccionamiento se lleve a cabo con posterioridad a la entrada en vigencia de la Ley</w:t>
      </w:r>
      <w:r>
        <w:rPr>
          <w:rStyle w:val="apple-converted-space"/>
          <w:rFonts w:ascii="Arial" w:hAnsi="Arial" w:cs="Arial"/>
          <w:color w:val="000000"/>
          <w:sz w:val="27"/>
          <w:szCs w:val="27"/>
        </w:rPr>
        <w:t> </w:t>
      </w:r>
      <w:hyperlink r:id="rId10" w:anchor="0" w:history="1">
        <w:r>
          <w:rPr>
            <w:rStyle w:val="Hipervnculo"/>
            <w:rFonts w:ascii="Arial" w:hAnsi="Arial" w:cs="Arial"/>
            <w:sz w:val="27"/>
            <w:szCs w:val="27"/>
          </w:rPr>
          <w:t>448</w:t>
        </w:r>
      </w:hyperlink>
      <w:r>
        <w:rPr>
          <w:rStyle w:val="apple-converted-space"/>
          <w:rFonts w:ascii="Arial" w:hAnsi="Arial" w:cs="Arial"/>
          <w:color w:val="000000"/>
          <w:sz w:val="27"/>
          <w:szCs w:val="27"/>
        </w:rPr>
        <w:t> </w:t>
      </w:r>
      <w:r>
        <w:rPr>
          <w:rFonts w:ascii="Arial" w:hAnsi="Arial" w:cs="Arial"/>
          <w:color w:val="000000"/>
          <w:sz w:val="27"/>
          <w:szCs w:val="27"/>
        </w:rPr>
        <w:t>de 1998, serán aprobadas por la Dirección General de Crédito Público del Ministerio de Hacienda y Crédito Público y se manejarán de acuerdo con lo establecido en dicha ley. La valoración de los pasivos contingentes perfeccionados con anterioridad a la vigencia de la citada Ley 448 de 1998, será realizada por el Departamento Nacional de Planeación, con base en procedimientos establecidos por esta entidad.</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4º</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Consistencia del presupuesto.</w:t>
      </w:r>
      <w:r>
        <w:rPr>
          <w:rStyle w:val="apple-converted-space"/>
          <w:rFonts w:ascii="Arial" w:hAnsi="Arial" w:cs="Arial"/>
          <w:i/>
          <w:iCs/>
          <w:color w:val="000000"/>
          <w:sz w:val="27"/>
          <w:szCs w:val="27"/>
        </w:rPr>
        <w:t> </w:t>
      </w:r>
      <w:r>
        <w:rPr>
          <w:rFonts w:ascii="Arial" w:hAnsi="Arial" w:cs="Arial"/>
          <w:color w:val="000000"/>
          <w:sz w:val="27"/>
          <w:szCs w:val="27"/>
        </w:rPr>
        <w:t>El proyecto de Presupuesto General de la Nación y los proyectos de presupuesto de las entidades con régimen presupuestal de empresas industriales y comerciales del Estado dedicadas a actividades no financieras y sociedades de economía mixta asimiladas a estas deberán ser consistentes con lo establecido en los literales a), b) y c) del artículo 1º de la presente ley.</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De igual forma, las modificaciones o adiciones a las Leyes Anuales de Presupuesto que sean aprobadas por el Congreso de la República deberán respetar el Marco Fiscal de Mediano Plazo previsto en la aprobación y discusión de la ley que se pretende modificar o adicionar.</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3" w:name="5"/>
      <w:r>
        <w:rPr>
          <w:rFonts w:ascii="Arial" w:hAnsi="Arial" w:cs="Arial"/>
          <w:b/>
          <w:bCs/>
          <w:color w:val="000000"/>
          <w:sz w:val="27"/>
          <w:szCs w:val="27"/>
        </w:rPr>
        <w:t> </w:t>
      </w:r>
      <w:bookmarkEnd w:id="3"/>
      <w:r>
        <w:rPr>
          <w:rFonts w:ascii="Arial" w:hAnsi="Arial" w:cs="Arial"/>
          <w:b/>
          <w:bCs/>
          <w:color w:val="000000"/>
          <w:sz w:val="27"/>
          <w:szCs w:val="27"/>
        </w:rPr>
        <w:t>5º</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Marco fiscal de mediano plazo para entidades territoriales</w:t>
      </w:r>
      <w:r>
        <w:rPr>
          <w:rFonts w:ascii="Arial" w:hAnsi="Arial" w:cs="Arial"/>
          <w:color w:val="000000"/>
          <w:sz w:val="27"/>
          <w:szCs w:val="27"/>
        </w:rPr>
        <w:t xml:space="preserve">. Anualmente, en los departamentos, en los distritos y municipios de </w:t>
      </w:r>
      <w:r>
        <w:rPr>
          <w:rFonts w:ascii="Arial" w:hAnsi="Arial" w:cs="Arial"/>
          <w:color w:val="000000"/>
          <w:sz w:val="27"/>
          <w:szCs w:val="27"/>
        </w:rPr>
        <w:lastRenderedPageBreak/>
        <w:t>categoría especial, 1 y 2, a partir de la vigencia de la presente ley, y en los municipios de categorías 3, 4, 5 y 6 a partir de la vigencia 2005, el Gobernador o Alcalde deberá presentar a la respectiva Asamblea o Concejo, a título informativo, un Marco Fiscal de Mediano Plazo.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Dicho Marco se presentará en el mismo período en el cual se deba presentar el proyecto de presupuesto y debe contener como mínimo: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a) El Plan Financiero contenido en el artículo 4º de la Ley 38 de 1989, modificado por el inciso 5 de la Ley 179 de 1994;</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b) Las metas de superávit primario a que hace referencia el artículo 2º de la presente ley, así como el nivel de deuda pública y un análisis de su sostenibilidad;</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c) Las acciones y medidas específicas en las que se sustenta el cumplimiento de las metas, con sus correspondientes cronogramas de ejecución;</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d) Un informe de resultados fiscales de la vigencia fiscal anterior. Este informe debe incluir, en caso de incumplimiento de las metas fijadas en el Marco Fiscal de Mediano Plazo del año anterior, una explicación de cualquier desviación respecto a las metas y las medidas necesarias para corregirlas. Si se ha incumplido la meta de superávit primario del año anterior, el nuevo Marco Fiscal de Mediano Plazo tiene que reflejar un ajuste tal que garantice la sostenibilidad de la deuda pública;</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e) Una estimación del costo fiscal de las exenciones tributarias existentes en la vigencia anterior;</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f) Una relación de los pasivos exigibles y de los pasivos contingentes que pueden afectar la situación financiera de la entidad territorial; </w:t>
      </w:r>
      <w:hyperlink r:id="rId11" w:anchor="0" w:history="1">
        <w:r>
          <w:rPr>
            <w:rStyle w:val="Hipervnculo"/>
            <w:rFonts w:ascii="Arial" w:hAnsi="Arial" w:cs="Arial"/>
            <w:sz w:val="27"/>
            <w:szCs w:val="27"/>
          </w:rPr>
          <w:t>Ver el Decreto Distrital 175 de 2004</w:t>
        </w:r>
      </w:hyperlink>
      <w:r>
        <w:rPr>
          <w:rFonts w:ascii="Arial" w:hAnsi="Arial" w:cs="Arial"/>
          <w:color w:val="000000"/>
          <w:sz w:val="27"/>
          <w:szCs w:val="27"/>
        </w:rPr>
        <w:t>,</w:t>
      </w:r>
      <w:hyperlink r:id="rId12" w:anchor="0" w:history="1">
        <w:r>
          <w:rPr>
            <w:rStyle w:val="Hipervnculo"/>
            <w:rFonts w:ascii="Arial" w:hAnsi="Arial" w:cs="Arial"/>
            <w:sz w:val="27"/>
            <w:szCs w:val="27"/>
          </w:rPr>
          <w:t>Ver la Resolución de la Sec. Distrital de Hacienda 866 de 2004</w:t>
        </w:r>
      </w:hyperlink>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g) El costo fiscal de los proyectos de ordenanza o acuerdo sancionados en la vigencia fiscal anterior.</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6º</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Consistencia del presupuesto para las entidades territoriales</w:t>
      </w:r>
      <w:r>
        <w:rPr>
          <w:rFonts w:ascii="Arial" w:hAnsi="Arial" w:cs="Arial"/>
          <w:color w:val="000000"/>
          <w:sz w:val="27"/>
          <w:szCs w:val="27"/>
        </w:rPr>
        <w:t xml:space="preserve">. El proyecto de Presupuesto General de la entidad territorial y los proyectos de presupuesto de las entidades del orden territorial con régimen presupuestal de empresas industriales y comerciales del Estado </w:t>
      </w:r>
      <w:r>
        <w:rPr>
          <w:rFonts w:ascii="Arial" w:hAnsi="Arial" w:cs="Arial"/>
          <w:color w:val="000000"/>
          <w:sz w:val="27"/>
          <w:szCs w:val="27"/>
        </w:rPr>
        <w:lastRenderedPageBreak/>
        <w:t>y sociedades de economía mixta asimiladas a estas deberán ser consistentes con lo establecido en los literales a, b y c del artículo anterior.</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7º</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Análisis del impacto fiscal de las normas.</w:t>
      </w:r>
      <w:r>
        <w:rPr>
          <w:rStyle w:val="apple-converted-space"/>
          <w:rFonts w:ascii="Arial" w:hAnsi="Arial" w:cs="Arial"/>
          <w:i/>
          <w:iCs/>
          <w:color w:val="000000"/>
          <w:sz w:val="27"/>
          <w:szCs w:val="27"/>
        </w:rPr>
        <w:t> </w:t>
      </w:r>
      <w:r>
        <w:rPr>
          <w:rFonts w:ascii="Arial" w:hAnsi="Arial" w:cs="Arial"/>
          <w:color w:val="000000"/>
          <w:sz w:val="27"/>
          <w:szCs w:val="27"/>
        </w:rPr>
        <w:t>En todo momento, el impacto fiscal de cualquier proyecto de ley, ordenanza o acuerdo, que ordene gasto o que otorgue beneficios tributarios, deberá hacerse explícito y deberá ser compatible con el Marco Fiscal de Mediano Plazo.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Para estos propósitos, deberá incluirse expresamente en la exposición de motivos y en las ponencias de trámite respectivas los costos fiscales de la iniciativa y la fuente de ingreso adicional generada para el financiamiento de dicho costo.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En las entidades territoriales, el trámite previsto en el inciso anterior será surtido ante la respectiva Secretaría de Hacienda o quien haga sus veces.</w:t>
      </w:r>
    </w:p>
    <w:p w:rsidR="009A5175" w:rsidRDefault="009A5175" w:rsidP="009A5175">
      <w:pPr>
        <w:pStyle w:val="NormalWeb"/>
        <w:shd w:val="clear" w:color="auto" w:fill="FFFFFF"/>
        <w:jc w:val="center"/>
        <w:rPr>
          <w:rFonts w:ascii="Arial" w:hAnsi="Arial" w:cs="Arial"/>
          <w:color w:val="000000"/>
          <w:sz w:val="27"/>
          <w:szCs w:val="27"/>
        </w:rPr>
      </w:pPr>
      <w:r>
        <w:rPr>
          <w:rStyle w:val="Textoennegrita"/>
          <w:rFonts w:ascii="Arial" w:hAnsi="Arial" w:cs="Arial"/>
          <w:color w:val="000000"/>
          <w:sz w:val="27"/>
          <w:szCs w:val="27"/>
        </w:rPr>
        <w:t>CAPITULO II</w:t>
      </w:r>
    </w:p>
    <w:p w:rsidR="009A5175" w:rsidRDefault="00B91804" w:rsidP="009A5175">
      <w:pPr>
        <w:pStyle w:val="NormalWeb"/>
        <w:shd w:val="clear" w:color="auto" w:fill="FFFFFF"/>
        <w:rPr>
          <w:rFonts w:ascii="Arial" w:hAnsi="Arial" w:cs="Arial"/>
          <w:color w:val="000000"/>
          <w:sz w:val="27"/>
          <w:szCs w:val="27"/>
        </w:rPr>
      </w:pPr>
      <w:hyperlink r:id="rId13" w:anchor="0" w:history="1">
        <w:r w:rsidR="009A5175">
          <w:rPr>
            <w:rStyle w:val="Hipervnculo"/>
            <w:rFonts w:ascii="Arial" w:hAnsi="Arial" w:cs="Arial"/>
            <w:sz w:val="27"/>
            <w:szCs w:val="27"/>
          </w:rPr>
          <w:t>Ver Circular Conjunta MIHA, PGR, CGR Y AGR 001 DE 2010</w:t>
        </w:r>
      </w:hyperlink>
      <w:r w:rsidR="009A5175">
        <w:rPr>
          <w:rFonts w:ascii="Arial" w:hAnsi="Arial" w:cs="Arial"/>
          <w:color w:val="000000"/>
          <w:sz w:val="27"/>
          <w:szCs w:val="27"/>
        </w:rPr>
        <w:t>,</w:t>
      </w:r>
      <w:r w:rsidR="009A5175">
        <w:rPr>
          <w:rStyle w:val="apple-converted-space"/>
          <w:rFonts w:ascii="Arial" w:hAnsi="Arial" w:cs="Arial"/>
          <w:color w:val="000000"/>
          <w:sz w:val="27"/>
          <w:szCs w:val="27"/>
        </w:rPr>
        <w:t> </w:t>
      </w:r>
      <w:hyperlink r:id="rId14" w:anchor="0" w:history="1">
        <w:r w:rsidR="009A5175">
          <w:rPr>
            <w:rStyle w:val="Hipervnculo"/>
            <w:rFonts w:ascii="Arial" w:hAnsi="Arial" w:cs="Arial"/>
            <w:sz w:val="27"/>
            <w:szCs w:val="27"/>
          </w:rPr>
          <w:t>Ver el Fallo del Consejo de Estado 032 de 2011</w:t>
        </w:r>
      </w:hyperlink>
    </w:p>
    <w:p w:rsidR="009A5175" w:rsidRDefault="009A5175" w:rsidP="009A5175">
      <w:pPr>
        <w:pStyle w:val="NormalWeb"/>
        <w:shd w:val="clear" w:color="auto" w:fill="FFFFFF"/>
        <w:jc w:val="center"/>
        <w:rPr>
          <w:rFonts w:ascii="Arial" w:hAnsi="Arial" w:cs="Arial"/>
          <w:color w:val="000000"/>
          <w:sz w:val="27"/>
          <w:szCs w:val="27"/>
        </w:rPr>
      </w:pPr>
      <w:r>
        <w:rPr>
          <w:rFonts w:ascii="Arial" w:hAnsi="Arial" w:cs="Arial"/>
          <w:b/>
          <w:bCs/>
          <w:color w:val="000000"/>
          <w:sz w:val="27"/>
          <w:szCs w:val="27"/>
        </w:rPr>
        <w:br/>
      </w:r>
      <w:r>
        <w:rPr>
          <w:rFonts w:ascii="Arial" w:hAnsi="Arial" w:cs="Arial"/>
          <w:color w:val="000000"/>
          <w:sz w:val="27"/>
          <w:szCs w:val="27"/>
        </w:rPr>
        <w:t> </w:t>
      </w:r>
    </w:p>
    <w:p w:rsidR="009A5175" w:rsidRDefault="009A5175" w:rsidP="009A5175">
      <w:pPr>
        <w:pStyle w:val="NormalWeb"/>
        <w:shd w:val="clear" w:color="auto" w:fill="FFFFFF"/>
        <w:jc w:val="center"/>
        <w:rPr>
          <w:rFonts w:ascii="Arial" w:hAnsi="Arial" w:cs="Arial"/>
          <w:color w:val="000000"/>
          <w:sz w:val="27"/>
          <w:szCs w:val="27"/>
        </w:rPr>
      </w:pPr>
      <w:r>
        <w:rPr>
          <w:rStyle w:val="Textoennegrita"/>
          <w:rFonts w:ascii="Arial" w:hAnsi="Arial" w:cs="Arial"/>
          <w:color w:val="000000"/>
          <w:sz w:val="27"/>
          <w:szCs w:val="27"/>
        </w:rPr>
        <w:t>Normas orgánicas presupuestales de disciplina fiscal</w:t>
      </w:r>
    </w:p>
    <w:p w:rsidR="009A5175" w:rsidRDefault="009A5175" w:rsidP="009A5175">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Artículo 8º</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Reglamentación a la programación presupuestal.</w:t>
      </w:r>
      <w:r>
        <w:rPr>
          <w:rStyle w:val="apple-converted-space"/>
          <w:rFonts w:ascii="Arial" w:hAnsi="Arial" w:cs="Arial"/>
          <w:i/>
          <w:iCs/>
          <w:color w:val="000000"/>
          <w:sz w:val="27"/>
          <w:szCs w:val="27"/>
        </w:rPr>
        <w:t> </w:t>
      </w:r>
      <w:r>
        <w:rPr>
          <w:rFonts w:ascii="Arial" w:hAnsi="Arial" w:cs="Arial"/>
          <w:color w:val="000000"/>
          <w:sz w:val="27"/>
          <w:szCs w:val="27"/>
        </w:rPr>
        <w:t xml:space="preserve">La preparación y elaboración del presupuesto general de la Nación y el de </w:t>
      </w:r>
      <w:r>
        <w:rPr>
          <w:rFonts w:ascii="Arial" w:hAnsi="Arial" w:cs="Arial"/>
          <w:color w:val="000000"/>
          <w:sz w:val="27"/>
          <w:szCs w:val="27"/>
        </w:rPr>
        <w:lastRenderedPageBreak/>
        <w:t>las Entidades Territoriales, deberá sujetarse a los correspondientes Marcos Fiscales de Mediano Plazo de manera que las apropiaciones presupuestales aprobadas por el Congreso de la República, las Asambleas y los Concejos, puedan ejecutarse en su totalidad durante la vigencia fiscal correspondiente.</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En los eventos en que se encuentre en trámite una licitación, concurso de méritos o cualquier otro proceso de selección del contratista con todos los requerimientos legales, incluida la disponibilidad presupuestal, y su perfeccionamiento se efectúe en la vigencia fiscal siguiente, se atenderá con el presupuesto de esta última vigencia, previo el cumplimiento de los ajustes presupuestales correspondientes.</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Parágrafo transitorio. Lo preceptuado en este artículo empezará a regir, una vez sea culminada la siguiente transición:</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El treinta por ciento (30%) de las reservas del Presupuesto General de la Nación y de las Entidades Territoriales que se constituyan al cierre de la vigencia fiscal del 2004 se atenderán con cargo al presupuesto del año 2005. A su vez, el setenta por ciento (70%) de las reservas del Presupuesto General de la Nación y de las Entidades Territoriales que se constituyan al cierre de la vigencia fiscal de 2005 se atenderán con cargo al presupuesto del año 2006.</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Para lo cual, el Gobierno Nacional y los Gobiernos Territoriales, respectivamente harán por decreto los ajustes correspondientes.</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9º</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Información obligatoria</w:t>
      </w:r>
      <w:r>
        <w:rPr>
          <w:rFonts w:ascii="Arial" w:hAnsi="Arial" w:cs="Arial"/>
          <w:color w:val="000000"/>
          <w:sz w:val="27"/>
          <w:szCs w:val="27"/>
        </w:rPr>
        <w:t>. Las empresas o sociedades donde la Nación o sus entidades descentralizadas tengan una participación en su capital social superior al cincuenta por ciento (50%) deberán reportar, dentro de sus competencias, al Ministerio de Hacienda y Crédito Público y al Departamento Nacional de Planeación, la información de carácter presupuestal y financiera que se requiera con el fin de dar cumplimiento a la presente ley.</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4" w:name="10"/>
      <w:r>
        <w:rPr>
          <w:rFonts w:ascii="Arial" w:hAnsi="Arial" w:cs="Arial"/>
          <w:b/>
          <w:bCs/>
          <w:color w:val="000000"/>
          <w:sz w:val="27"/>
          <w:szCs w:val="27"/>
        </w:rPr>
        <w:t> </w:t>
      </w:r>
      <w:bookmarkEnd w:id="4"/>
      <w:r>
        <w:rPr>
          <w:rFonts w:ascii="Arial" w:hAnsi="Arial" w:cs="Arial"/>
          <w:b/>
          <w:bCs/>
          <w:color w:val="000000"/>
          <w:sz w:val="27"/>
          <w:szCs w:val="27"/>
        </w:rPr>
        <w:t>10</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Vigencias futuras ordinarias</w:t>
      </w:r>
      <w:r>
        <w:rPr>
          <w:rFonts w:ascii="Arial" w:hAnsi="Arial" w:cs="Arial"/>
          <w:color w:val="000000"/>
          <w:sz w:val="27"/>
          <w:szCs w:val="27"/>
        </w:rPr>
        <w:t>. El artículo 9º de la Ley 179 de 1994 quedará así:</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 xml:space="preserve">El </w:t>
      </w:r>
      <w:proofErr w:type="spellStart"/>
      <w:r>
        <w:rPr>
          <w:rFonts w:ascii="Arial" w:hAnsi="Arial" w:cs="Arial"/>
          <w:color w:val="000000"/>
          <w:sz w:val="27"/>
          <w:szCs w:val="27"/>
        </w:rPr>
        <w:t>Confis</w:t>
      </w:r>
      <w:proofErr w:type="spellEnd"/>
      <w:r>
        <w:rPr>
          <w:rFonts w:ascii="Arial" w:hAnsi="Arial" w:cs="Arial"/>
          <w:color w:val="000000"/>
          <w:sz w:val="27"/>
          <w:szCs w:val="27"/>
        </w:rPr>
        <w:t xml:space="preserve"> podrá autorizar la asunción de obligaciones que afecten presupuestos de vigencias futuras cuando su ejecución se inicie con presupuesto de la vigencia en curso y el objeto del compromiso se lleve a cabo en cada una de ellas siempre y cuando se cumpla que:</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a) El monto máximo de vigencias futuras, el plazo y las condiciones de las mismas consulte las metas plurianuales del Marco Fiscal de Mediano Plazo de que trata el artículo 1º de esta ley;</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b) Como mínimo, de las vigencias futuras que se soliciten se deberá contar con apropiación del quince por ciento (15%) en la vigencia fiscal en la que estas sean autorizadas;</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c) Cuando se trate de proyectos de inversión nacional deberá obtenerse el concepto previo y favorable del Departamento Nacional de Planeación y del Ministerio del ramo.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 xml:space="preserve">La autorización por parte del </w:t>
      </w:r>
      <w:proofErr w:type="spellStart"/>
      <w:r>
        <w:rPr>
          <w:rFonts w:ascii="Arial" w:hAnsi="Arial" w:cs="Arial"/>
          <w:color w:val="000000"/>
          <w:sz w:val="27"/>
          <w:szCs w:val="27"/>
        </w:rPr>
        <w:t>Confis</w:t>
      </w:r>
      <w:proofErr w:type="spellEnd"/>
      <w:r>
        <w:rPr>
          <w:rFonts w:ascii="Arial" w:hAnsi="Arial" w:cs="Arial"/>
          <w:color w:val="000000"/>
          <w:sz w:val="27"/>
          <w:szCs w:val="27"/>
        </w:rPr>
        <w:t xml:space="preserve"> para comprometer presupuesto con cargo a vigencias futuras no podrá superar el respectivo período de gobierno. Se exceptúan los proyectos de gastos de inversión en aquellos casos en que el </w:t>
      </w:r>
      <w:proofErr w:type="spellStart"/>
      <w:r>
        <w:rPr>
          <w:rFonts w:ascii="Arial" w:hAnsi="Arial" w:cs="Arial"/>
          <w:color w:val="000000"/>
          <w:sz w:val="27"/>
          <w:szCs w:val="27"/>
        </w:rPr>
        <w:t>Conpes</w:t>
      </w:r>
      <w:proofErr w:type="spellEnd"/>
      <w:r>
        <w:rPr>
          <w:rFonts w:ascii="Arial" w:hAnsi="Arial" w:cs="Arial"/>
          <w:color w:val="000000"/>
          <w:sz w:val="27"/>
          <w:szCs w:val="27"/>
        </w:rPr>
        <w:t xml:space="preserve"> previamente los declare de importancia estratégica.</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Esta disposición también se aplicará a las entidades de que trata el artículo 9º de la presente ley. El Gobierno reglamentará la materia.</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El Ministerio de Hacienda y Crédito Público, Dirección General del Presupuesto Público Nacional, incluirá en los proyectos de presupuesto las asignaciones necesarias para darle cumplimiento a lo dispuesto en este artículo.</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w:t>
      </w:r>
      <w:r>
        <w:rPr>
          <w:rStyle w:val="apple-converted-space"/>
          <w:rFonts w:ascii="Arial" w:hAnsi="Arial" w:cs="Arial"/>
          <w:color w:val="000000"/>
          <w:sz w:val="27"/>
          <w:szCs w:val="27"/>
        </w:rPr>
        <w:t> </w:t>
      </w:r>
      <w:r>
        <w:rPr>
          <w:rFonts w:ascii="Arial" w:hAnsi="Arial" w:cs="Arial"/>
          <w:color w:val="000000"/>
          <w:sz w:val="27"/>
          <w:szCs w:val="27"/>
        </w:rPr>
        <w:t xml:space="preserve">Estas funciones podrán ser delegadas por el </w:t>
      </w:r>
      <w:proofErr w:type="spellStart"/>
      <w:r>
        <w:rPr>
          <w:rFonts w:ascii="Arial" w:hAnsi="Arial" w:cs="Arial"/>
          <w:color w:val="000000"/>
          <w:sz w:val="27"/>
          <w:szCs w:val="27"/>
        </w:rPr>
        <w:t>Confis</w:t>
      </w:r>
      <w:proofErr w:type="spellEnd"/>
      <w:r>
        <w:rPr>
          <w:rFonts w:ascii="Arial" w:hAnsi="Arial" w:cs="Arial"/>
          <w:color w:val="000000"/>
          <w:sz w:val="27"/>
          <w:szCs w:val="27"/>
        </w:rPr>
        <w:t xml:space="preserve"> en la Dirección General del Presupuesto Público Nacional del Ministerio de Hacienda y Crédito Público para el caso de los órganos que componen el Presupuesto General de la Nación y en las juntas o Consejos Directivos en el caso de las entidades de las que trata el numeral 4 del artículo 10 de la Ley 179 de 1994. El Gobierno Nacional reglamentará la materia.</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 xml:space="preserve">En caso de existir tal delegación, quien sea delegado por el </w:t>
      </w:r>
      <w:proofErr w:type="spellStart"/>
      <w:r>
        <w:rPr>
          <w:rFonts w:ascii="Arial" w:hAnsi="Arial" w:cs="Arial"/>
          <w:color w:val="000000"/>
          <w:sz w:val="27"/>
          <w:szCs w:val="27"/>
        </w:rPr>
        <w:t>Confis</w:t>
      </w:r>
      <w:proofErr w:type="spellEnd"/>
      <w:r>
        <w:rPr>
          <w:rFonts w:ascii="Arial" w:hAnsi="Arial" w:cs="Arial"/>
          <w:color w:val="000000"/>
          <w:sz w:val="27"/>
          <w:szCs w:val="27"/>
        </w:rPr>
        <w:t xml:space="preserve"> presentará un informe trimestral a dicho Consejo sobre las vigencias futuras autorizadas en el trimestre inmediatamente anterior.</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5" w:name="11"/>
      <w:r>
        <w:rPr>
          <w:rFonts w:ascii="Arial" w:hAnsi="Arial" w:cs="Arial"/>
          <w:b/>
          <w:bCs/>
          <w:color w:val="000000"/>
          <w:sz w:val="27"/>
          <w:szCs w:val="27"/>
        </w:rPr>
        <w:t> </w:t>
      </w:r>
      <w:bookmarkEnd w:id="5"/>
      <w:r>
        <w:rPr>
          <w:rFonts w:ascii="Arial" w:hAnsi="Arial" w:cs="Arial"/>
          <w:b/>
          <w:bCs/>
          <w:color w:val="000000"/>
          <w:sz w:val="27"/>
          <w:szCs w:val="27"/>
        </w:rPr>
        <w:t>11</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Vigencias futuras excepcionales.</w:t>
      </w:r>
      <w:r>
        <w:rPr>
          <w:rStyle w:val="apple-converted-space"/>
          <w:rFonts w:ascii="Arial" w:hAnsi="Arial" w:cs="Arial"/>
          <w:i/>
          <w:iCs/>
          <w:color w:val="000000"/>
          <w:sz w:val="27"/>
          <w:szCs w:val="27"/>
        </w:rPr>
        <w:t> </w:t>
      </w:r>
      <w:r>
        <w:rPr>
          <w:rFonts w:ascii="Arial" w:hAnsi="Arial" w:cs="Arial"/>
          <w:color w:val="000000"/>
          <w:sz w:val="27"/>
          <w:szCs w:val="27"/>
        </w:rPr>
        <w:t>El artículo 3º de la Ley 225 de 1995 quedará así:</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 xml:space="preserve">El Consejo Superior de Política Fiscal, </w:t>
      </w:r>
      <w:proofErr w:type="spellStart"/>
      <w:r>
        <w:rPr>
          <w:rFonts w:ascii="Arial" w:hAnsi="Arial" w:cs="Arial"/>
          <w:color w:val="000000"/>
          <w:sz w:val="27"/>
          <w:szCs w:val="27"/>
        </w:rPr>
        <w:t>Confis</w:t>
      </w:r>
      <w:proofErr w:type="spellEnd"/>
      <w:r>
        <w:rPr>
          <w:rFonts w:ascii="Arial" w:hAnsi="Arial" w:cs="Arial"/>
          <w:color w:val="000000"/>
          <w:sz w:val="27"/>
          <w:szCs w:val="27"/>
        </w:rPr>
        <w:t xml:space="preserve">, en casos excepcionales para las obras de infraestructura, energía, comunicaciones, aeronáutica, </w:t>
      </w:r>
      <w:r>
        <w:rPr>
          <w:rFonts w:ascii="Arial" w:hAnsi="Arial" w:cs="Arial"/>
          <w:color w:val="000000"/>
          <w:sz w:val="27"/>
          <w:szCs w:val="27"/>
        </w:rPr>
        <w:lastRenderedPageBreak/>
        <w:t>defensa y seguridad, así como para las garantías a las concesiones, podrá autorizar que se asuman obligaciones que afecten el presupuesto de vigencias futuras sin apropiación en el presupuesto del año en que se concede la autorización. El monto máximo de vigencias futuras, el plazo y las condiciones de las mismas deberán consultar las metas plurianuales del Marco Fiscal de Mediano Plazo del que trata el artículo 1º de esta ley.</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 xml:space="preserve">La secretaría ejecutiva del </w:t>
      </w:r>
      <w:proofErr w:type="spellStart"/>
      <w:r>
        <w:rPr>
          <w:rFonts w:ascii="Arial" w:hAnsi="Arial" w:cs="Arial"/>
          <w:color w:val="000000"/>
          <w:sz w:val="27"/>
          <w:szCs w:val="27"/>
        </w:rPr>
        <w:t>Confis</w:t>
      </w:r>
      <w:proofErr w:type="spellEnd"/>
      <w:r>
        <w:rPr>
          <w:rFonts w:ascii="Arial" w:hAnsi="Arial" w:cs="Arial"/>
          <w:color w:val="000000"/>
          <w:sz w:val="27"/>
          <w:szCs w:val="27"/>
        </w:rPr>
        <w:t xml:space="preserve"> enviará trimestralmente a las comisiones económicas del Congreso una relación de las autorizaciones aprobadas por el Consejo, para estos casos.</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 xml:space="preserve">Para asumir obligaciones que afecten presupuestos de vigencias futuras, los contratos de empréstito y las contrapartidas que en estos se estipulen no requieren la autorización del Consejo Superior de Política Fiscal, </w:t>
      </w:r>
      <w:proofErr w:type="spellStart"/>
      <w:r>
        <w:rPr>
          <w:rFonts w:ascii="Arial" w:hAnsi="Arial" w:cs="Arial"/>
          <w:color w:val="000000"/>
          <w:sz w:val="27"/>
          <w:szCs w:val="27"/>
        </w:rPr>
        <w:t>Confis</w:t>
      </w:r>
      <w:proofErr w:type="spellEnd"/>
      <w:r>
        <w:rPr>
          <w:rFonts w:ascii="Arial" w:hAnsi="Arial" w:cs="Arial"/>
          <w:color w:val="000000"/>
          <w:sz w:val="27"/>
          <w:szCs w:val="27"/>
        </w:rPr>
        <w:t>. Estos contratos se regirán por las normas que regulan las operaciones de crédito público.</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6" w:name="12"/>
      <w:r>
        <w:rPr>
          <w:rFonts w:ascii="Arial" w:hAnsi="Arial" w:cs="Arial"/>
          <w:b/>
          <w:bCs/>
          <w:color w:val="000000"/>
          <w:sz w:val="27"/>
          <w:szCs w:val="27"/>
        </w:rPr>
        <w:t> </w:t>
      </w:r>
      <w:bookmarkEnd w:id="6"/>
      <w:r>
        <w:rPr>
          <w:rFonts w:ascii="Arial" w:hAnsi="Arial" w:cs="Arial"/>
          <w:b/>
          <w:bCs/>
          <w:color w:val="000000"/>
          <w:sz w:val="27"/>
          <w:szCs w:val="27"/>
        </w:rPr>
        <w:t>12</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Vigencias futuras ordinarias para entidades territoriales</w:t>
      </w:r>
      <w:r>
        <w:rPr>
          <w:rFonts w:ascii="Arial" w:hAnsi="Arial" w:cs="Arial"/>
          <w:color w:val="000000"/>
          <w:sz w:val="27"/>
          <w:szCs w:val="27"/>
        </w:rPr>
        <w:t xml:space="preserve">. En las entidades territoriales, las autorizaciones para comprometer vigencias futuras serán impartidas por la asamblea o concejo respectivo, a iniciativa del gobierno local, previa aprobación por el </w:t>
      </w:r>
      <w:proofErr w:type="spellStart"/>
      <w:r>
        <w:rPr>
          <w:rFonts w:ascii="Arial" w:hAnsi="Arial" w:cs="Arial"/>
          <w:color w:val="000000"/>
          <w:sz w:val="27"/>
          <w:szCs w:val="27"/>
        </w:rPr>
        <w:t>Confis</w:t>
      </w:r>
      <w:proofErr w:type="spellEnd"/>
      <w:r>
        <w:rPr>
          <w:rFonts w:ascii="Arial" w:hAnsi="Arial" w:cs="Arial"/>
          <w:color w:val="000000"/>
          <w:sz w:val="27"/>
          <w:szCs w:val="27"/>
        </w:rPr>
        <w:t xml:space="preserve"> territorial o el órgano que haga sus veces.</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Se podrá autorizar la asunción de obligaciones que afecten presupuestos de vigencias futuras cuando su ejecución se inicie con presupuesto de la vigencia en curso y el objeto del compromiso se lleve a cabo en cada una de ellas siempre y cuando se cumpla que:</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a) El monto máximo de vigencias futuras, el plazo y las condiciones de las mismas consulte las metas plurianuales del Marco Fiscal de Mediano Plazo de que trata el artículo 1º de esta ley;</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b) Como mínimo, de las vigencias futuras que se soliciten se deberá contar con apropiación del quince por ciento (15%) en la vigencia fiscal en la que estas sean autorizadas;</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c) Cuando se trate de proyectos que conlleven inversión nacional deberá obtenerse el concepto previo y favorable del Departamento Nacional de Planeación.</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La corporación de elección popular se abstendrá de otorgar la autorización si los proyectos objeto de la vigencia futura no están consignados en el Plan de Desarrollo respectivo y si sumados todos los compromisos que se pretendan adquirir por esta modalidad y sus costos futuros de mantenimiento y/o administración, se excede su capacidad de endeudamiento.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 xml:space="preserve">La autorización por parte del </w:t>
      </w:r>
      <w:proofErr w:type="spellStart"/>
      <w:r>
        <w:rPr>
          <w:rFonts w:ascii="Arial" w:hAnsi="Arial" w:cs="Arial"/>
          <w:color w:val="000000"/>
          <w:sz w:val="27"/>
          <w:szCs w:val="27"/>
        </w:rPr>
        <w:t>Confis</w:t>
      </w:r>
      <w:proofErr w:type="spellEnd"/>
      <w:r>
        <w:rPr>
          <w:rFonts w:ascii="Arial" w:hAnsi="Arial" w:cs="Arial"/>
          <w:color w:val="000000"/>
          <w:sz w:val="27"/>
          <w:szCs w:val="27"/>
        </w:rPr>
        <w:t xml:space="preserve"> para comprometer presupuesto con cargo a vigencias futuras no podrá superar el respectivo período de gobierno. Se exceptúan los proyectos de gastos de inversión en aquellos casos en que el Consejo de Gobierno previamente los declare de importancia estratégica.</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En las entidades territoriales, queda prohibida la aprobación de cualquier vigencia futura, en el último año de gobierno del respectivo alcalde o gobernador, excepto la celebración de operaciones conexas de crédito público.</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transitorio.</w:t>
      </w:r>
      <w:r>
        <w:rPr>
          <w:rStyle w:val="apple-converted-space"/>
          <w:rFonts w:ascii="Arial" w:hAnsi="Arial" w:cs="Arial"/>
          <w:color w:val="000000"/>
          <w:sz w:val="27"/>
          <w:szCs w:val="27"/>
        </w:rPr>
        <w:t> </w:t>
      </w:r>
      <w:r>
        <w:rPr>
          <w:rFonts w:ascii="Arial" w:hAnsi="Arial" w:cs="Arial"/>
          <w:color w:val="000000"/>
          <w:sz w:val="27"/>
          <w:szCs w:val="27"/>
        </w:rPr>
        <w:t>La prohibición establecida en el inciso anterior no aplicará para el presente período de Gobernadores y Alcaldes, siempre que ello sea necesario para la ejecución de proyectos de desarrollo regional aprobados en el Plan Nacional de Desarrollo.</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13</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Responsabilidad fiscal en la contratación de personal por prestación de servicios.</w:t>
      </w:r>
      <w:r>
        <w:rPr>
          <w:rStyle w:val="apple-converted-space"/>
          <w:rFonts w:ascii="Arial" w:hAnsi="Arial" w:cs="Arial"/>
          <w:i/>
          <w:iCs/>
          <w:color w:val="000000"/>
          <w:sz w:val="27"/>
          <w:szCs w:val="27"/>
        </w:rPr>
        <w:t> </w:t>
      </w:r>
      <w:r>
        <w:rPr>
          <w:rFonts w:ascii="Arial" w:hAnsi="Arial" w:cs="Arial"/>
          <w:color w:val="000000"/>
          <w:sz w:val="27"/>
          <w:szCs w:val="27"/>
        </w:rPr>
        <w:t>El servidor público responsable de la contratación de personal por prestación de servicios que desatienda lo dispuesto en las Leyes 617 de 2000 y 715 de 2001 será responsable fiscalmente.</w:t>
      </w:r>
    </w:p>
    <w:p w:rsidR="009A5175" w:rsidRDefault="009A5175" w:rsidP="009A5175">
      <w:pPr>
        <w:pStyle w:val="NormalWeb"/>
        <w:shd w:val="clear" w:color="auto" w:fill="FFFFFF"/>
        <w:jc w:val="center"/>
        <w:rPr>
          <w:rFonts w:ascii="Arial" w:hAnsi="Arial" w:cs="Arial"/>
          <w:color w:val="000000"/>
          <w:sz w:val="27"/>
          <w:szCs w:val="27"/>
        </w:rPr>
      </w:pPr>
      <w:r>
        <w:rPr>
          <w:rStyle w:val="Textoennegrita"/>
          <w:rFonts w:ascii="Arial" w:hAnsi="Arial" w:cs="Arial"/>
          <w:color w:val="000000"/>
          <w:sz w:val="27"/>
          <w:szCs w:val="27"/>
        </w:rPr>
        <w:t>CAPITULO III</w:t>
      </w:r>
    </w:p>
    <w:p w:rsidR="009A5175" w:rsidRDefault="00B91804" w:rsidP="009A5175">
      <w:pPr>
        <w:pStyle w:val="NormalWeb"/>
        <w:shd w:val="clear" w:color="auto" w:fill="FFFFFF"/>
        <w:rPr>
          <w:rFonts w:ascii="Arial" w:hAnsi="Arial" w:cs="Arial"/>
          <w:color w:val="000000"/>
          <w:sz w:val="27"/>
          <w:szCs w:val="27"/>
        </w:rPr>
      </w:pPr>
      <w:hyperlink r:id="rId15" w:anchor="0" w:history="1">
        <w:r w:rsidR="009A5175">
          <w:rPr>
            <w:rStyle w:val="Hipervnculo"/>
            <w:rFonts w:ascii="Arial" w:hAnsi="Arial" w:cs="Arial"/>
            <w:sz w:val="27"/>
            <w:szCs w:val="27"/>
          </w:rPr>
          <w:t>Ver Circular Conjunta MIHA, PGR, CGR Y AGR 001 DE 2010</w:t>
        </w:r>
      </w:hyperlink>
    </w:p>
    <w:p w:rsidR="009A5175" w:rsidRDefault="009A5175" w:rsidP="009A5175">
      <w:pPr>
        <w:pStyle w:val="NormalWeb"/>
        <w:shd w:val="clear" w:color="auto" w:fill="FFFFFF"/>
        <w:jc w:val="center"/>
        <w:rPr>
          <w:rFonts w:ascii="Arial" w:hAnsi="Arial" w:cs="Arial"/>
          <w:color w:val="000000"/>
          <w:sz w:val="27"/>
          <w:szCs w:val="27"/>
        </w:rPr>
      </w:pPr>
      <w:r>
        <w:rPr>
          <w:rStyle w:val="Textoennegrita"/>
          <w:rFonts w:ascii="Arial" w:hAnsi="Arial" w:cs="Arial"/>
          <w:color w:val="000000"/>
          <w:sz w:val="27"/>
          <w:szCs w:val="27"/>
        </w:rPr>
        <w:t>Normas sobre endeudamiento territorial</w:t>
      </w:r>
    </w:p>
    <w:p w:rsidR="009A5175" w:rsidRDefault="009A5175" w:rsidP="009A5175">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Artículo 14</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Capacidad de pago de las entidades territoriales.</w:t>
      </w:r>
      <w:r>
        <w:rPr>
          <w:rStyle w:val="apple-converted-space"/>
          <w:rFonts w:ascii="Arial" w:hAnsi="Arial" w:cs="Arial"/>
          <w:i/>
          <w:iCs/>
          <w:color w:val="000000"/>
          <w:sz w:val="27"/>
          <w:szCs w:val="27"/>
        </w:rPr>
        <w:t> </w:t>
      </w:r>
      <w:r>
        <w:rPr>
          <w:rFonts w:ascii="Arial" w:hAnsi="Arial" w:cs="Arial"/>
          <w:color w:val="000000"/>
          <w:sz w:val="27"/>
          <w:szCs w:val="27"/>
        </w:rPr>
        <w:t>La capacidad de pago de las entidades territoriales se analizará para todo el período de vigencia del crédito que se contrate y si al hacerlo, cualquiera de los dos indicadores consagrados en el artículo 6º de la Ley 358 de 1997 se ubica por encima de los límites allí previstos, la entidad territorial seguirá los procedimientos establecidos en la citada ley.</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lastRenderedPageBreak/>
        <w:t>Parágrafo.</w:t>
      </w:r>
      <w:r>
        <w:rPr>
          <w:rStyle w:val="apple-converted-space"/>
          <w:rFonts w:ascii="Arial" w:hAnsi="Arial" w:cs="Arial"/>
          <w:color w:val="000000"/>
          <w:sz w:val="27"/>
          <w:szCs w:val="27"/>
        </w:rPr>
        <w:t> </w:t>
      </w:r>
      <w:r>
        <w:rPr>
          <w:rFonts w:ascii="Arial" w:hAnsi="Arial" w:cs="Arial"/>
          <w:color w:val="000000"/>
          <w:sz w:val="27"/>
          <w:szCs w:val="27"/>
        </w:rPr>
        <w:t>Para estos efectos, la proyección de los intereses y el saldo de la deuda tendrán en cuenta los porcentajes de cobertura de riesgo de tasa de interés y de tasa de cambio que serán definidos trimestralmente por la Superintendencia Bancaria.</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15</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Créditos de tesorería en las entidades territoriales.</w:t>
      </w:r>
      <w:r>
        <w:rPr>
          <w:rStyle w:val="apple-converted-space"/>
          <w:rFonts w:ascii="Arial" w:hAnsi="Arial" w:cs="Arial"/>
          <w:i/>
          <w:iCs/>
          <w:color w:val="000000"/>
          <w:sz w:val="27"/>
          <w:szCs w:val="27"/>
        </w:rPr>
        <w:t> </w:t>
      </w:r>
      <w:r>
        <w:rPr>
          <w:rFonts w:ascii="Arial" w:hAnsi="Arial" w:cs="Arial"/>
          <w:color w:val="000000"/>
          <w:sz w:val="27"/>
          <w:szCs w:val="27"/>
        </w:rPr>
        <w:t>Los créditos de tesorería otorgados por entidades financieras a las entidades territoriales se destinarán exclusivamente a atender insuficiencia de caja de carácter temporal durante la vigencia fiscal y deberán cumplir con las siguientes exigencias:</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a) Los créditos de tesorería no podrán exceder la doceava de los ingresos corrientes del año fiscal;</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b) Serán pagados con recursos diferentes del crédito;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c) Deben ser pagados con intereses y otros cargos financieros antes del 20 de diciembre de la misma vigencia en que se contraten;</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d) No podrán contraerse en cuanto existan créditos de tesorería en mora o sobregiros.</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16</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Calificación de las entidades territoriales como sujetos de crédito.</w:t>
      </w:r>
      <w:r>
        <w:rPr>
          <w:rStyle w:val="apple-converted-space"/>
          <w:rFonts w:ascii="Arial" w:hAnsi="Arial" w:cs="Arial"/>
          <w:i/>
          <w:iCs/>
          <w:color w:val="000000"/>
          <w:sz w:val="27"/>
          <w:szCs w:val="27"/>
        </w:rPr>
        <w:t> </w:t>
      </w:r>
      <w:r>
        <w:rPr>
          <w:rFonts w:ascii="Arial" w:hAnsi="Arial" w:cs="Arial"/>
          <w:color w:val="000000"/>
          <w:sz w:val="27"/>
          <w:szCs w:val="27"/>
        </w:rPr>
        <w:t>Sin perjuicio de lo establecido en los artículos anteriores, y de las disposiciones contenidas en las normas de endeudamiento territorial, para la contratación de nuevos créditos por parte de los departamentos, distritos y municipios de categorías especial, 1 y 2 será requisito la presentación de una evaluación elaborada por una calificadora de riesgos, vigiladas por la Superintendencia en la que se acredita la capacidad de contraer el nuevo endeudamiento.</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w:t>
      </w:r>
      <w:r>
        <w:rPr>
          <w:rStyle w:val="apple-converted-space"/>
          <w:rFonts w:ascii="Arial" w:hAnsi="Arial" w:cs="Arial"/>
          <w:color w:val="000000"/>
          <w:sz w:val="27"/>
          <w:szCs w:val="27"/>
        </w:rPr>
        <w:t> </w:t>
      </w:r>
      <w:r>
        <w:rPr>
          <w:rFonts w:ascii="Arial" w:hAnsi="Arial" w:cs="Arial"/>
          <w:color w:val="000000"/>
          <w:sz w:val="27"/>
          <w:szCs w:val="27"/>
        </w:rPr>
        <w:t>La aplicación de este artículo será de obligatorio cumplimiento a partir del 1º de enero del año 2005.</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7" w:name="17"/>
      <w:r>
        <w:rPr>
          <w:rFonts w:ascii="Arial" w:hAnsi="Arial" w:cs="Arial"/>
          <w:b/>
          <w:bCs/>
          <w:color w:val="000000"/>
          <w:sz w:val="27"/>
          <w:szCs w:val="27"/>
        </w:rPr>
        <w:t> </w:t>
      </w:r>
      <w:bookmarkEnd w:id="7"/>
      <w:r>
        <w:rPr>
          <w:rFonts w:ascii="Arial" w:hAnsi="Arial" w:cs="Arial"/>
          <w:b/>
          <w:bCs/>
          <w:color w:val="000000"/>
          <w:sz w:val="27"/>
          <w:szCs w:val="27"/>
        </w:rPr>
        <w:t>17</w:t>
      </w:r>
      <w:r>
        <w:rPr>
          <w:rFonts w:ascii="Arial" w:hAnsi="Arial" w:cs="Arial"/>
          <w:color w:val="000000"/>
          <w:sz w:val="27"/>
          <w:szCs w:val="27"/>
        </w:rPr>
        <w:t>.</w:t>
      </w:r>
      <w:r>
        <w:rPr>
          <w:rStyle w:val="apple-converted-space"/>
          <w:rFonts w:ascii="Arial" w:hAnsi="Arial" w:cs="Arial"/>
          <w:color w:val="000000"/>
          <w:sz w:val="27"/>
          <w:szCs w:val="27"/>
        </w:rPr>
        <w:t> </w:t>
      </w:r>
      <w:r>
        <w:rPr>
          <w:rStyle w:val="nfasis"/>
          <w:rFonts w:ascii="Arial" w:hAnsi="Arial" w:cs="Arial"/>
          <w:color w:val="000000"/>
          <w:sz w:val="27"/>
          <w:szCs w:val="27"/>
        </w:rPr>
        <w:t>Colocación de excedentes de liquidez.</w:t>
      </w:r>
      <w:r>
        <w:rPr>
          <w:rStyle w:val="apple-converted-space"/>
          <w:rFonts w:ascii="Arial" w:hAnsi="Arial" w:cs="Arial"/>
          <w:i/>
          <w:iCs/>
          <w:color w:val="000000"/>
          <w:sz w:val="27"/>
          <w:szCs w:val="27"/>
        </w:rPr>
        <w:t> </w:t>
      </w:r>
      <w:hyperlink r:id="rId16" w:anchor="0" w:history="1">
        <w:r>
          <w:rPr>
            <w:rStyle w:val="Hipervnculo"/>
            <w:rFonts w:ascii="Arial" w:hAnsi="Arial" w:cs="Arial"/>
            <w:sz w:val="27"/>
            <w:szCs w:val="27"/>
          </w:rPr>
          <w:t>Reglamentado parcialmente por el Decreto Nacional 1117 de 2013</w:t>
        </w:r>
      </w:hyperlink>
      <w:r>
        <w:rPr>
          <w:rFonts w:ascii="Arial" w:hAnsi="Arial" w:cs="Arial"/>
          <w:color w:val="000000"/>
          <w:sz w:val="27"/>
          <w:szCs w:val="27"/>
        </w:rPr>
        <w:t>.</w:t>
      </w:r>
      <w:r>
        <w:rPr>
          <w:rStyle w:val="apple-converted-space"/>
          <w:rFonts w:ascii="Arial" w:hAnsi="Arial" w:cs="Arial"/>
          <w:i/>
          <w:iCs/>
          <w:color w:val="000000"/>
          <w:sz w:val="27"/>
          <w:szCs w:val="27"/>
        </w:rPr>
        <w:t> </w:t>
      </w:r>
      <w:r>
        <w:rPr>
          <w:rFonts w:ascii="Arial" w:hAnsi="Arial" w:cs="Arial"/>
          <w:color w:val="000000"/>
          <w:sz w:val="27"/>
          <w:szCs w:val="27"/>
        </w:rPr>
        <w:t>Las entidades territoriales deberán invertir sus excedentes transitorios de liquidez en Títulos de Deuda Pública Interna de la Nación o en títulos que cuenten con una alta calificación de riesgo crediticio o que sean depositados en entidades financieras calificadas como de bajo riesgo crediticio.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Parágrafo. Las Entidades Territoriales podrán seguir colocando sus excedentes de liquidez en Institutos de Fomento y Desarrollo mientras estos últimos obtienen la calificación de bajo riesgo crediticio, para lo cual tendrán un plazo de un (1) año a partir de la vigencia de la presente ley.</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8" w:name="18"/>
      <w:r>
        <w:rPr>
          <w:rFonts w:ascii="Arial" w:hAnsi="Arial" w:cs="Arial"/>
          <w:b/>
          <w:bCs/>
          <w:color w:val="000000"/>
          <w:sz w:val="27"/>
          <w:szCs w:val="27"/>
        </w:rPr>
        <w:t> </w:t>
      </w:r>
      <w:bookmarkEnd w:id="8"/>
      <w:r>
        <w:rPr>
          <w:rFonts w:ascii="Arial" w:hAnsi="Arial" w:cs="Arial"/>
          <w:b/>
          <w:bCs/>
          <w:color w:val="000000"/>
          <w:sz w:val="27"/>
          <w:szCs w:val="27"/>
        </w:rPr>
        <w:t>18</w:t>
      </w:r>
      <w:r>
        <w:rPr>
          <w:rFonts w:ascii="Arial" w:hAnsi="Arial" w:cs="Arial"/>
          <w:color w:val="000000"/>
          <w:sz w:val="27"/>
          <w:szCs w:val="27"/>
        </w:rPr>
        <w:t>.</w:t>
      </w:r>
      <w:r>
        <w:rPr>
          <w:rStyle w:val="apple-converted-space"/>
          <w:rFonts w:ascii="Arial" w:hAnsi="Arial" w:cs="Arial"/>
          <w:color w:val="000000"/>
          <w:sz w:val="27"/>
          <w:szCs w:val="27"/>
        </w:rPr>
        <w:t> </w:t>
      </w:r>
      <w:r>
        <w:rPr>
          <w:rStyle w:val="nfasis"/>
          <w:rFonts w:ascii="Arial" w:hAnsi="Arial" w:cs="Arial"/>
          <w:color w:val="000000"/>
          <w:sz w:val="27"/>
          <w:szCs w:val="27"/>
        </w:rPr>
        <w:t>Límite a la realización de créditos cruzados.</w:t>
      </w:r>
      <w:r>
        <w:rPr>
          <w:rStyle w:val="apple-converted-space"/>
          <w:rFonts w:ascii="Arial" w:hAnsi="Arial" w:cs="Arial"/>
          <w:i/>
          <w:iCs/>
          <w:color w:val="000000"/>
          <w:sz w:val="27"/>
          <w:szCs w:val="27"/>
        </w:rPr>
        <w:t> </w:t>
      </w:r>
      <w:hyperlink r:id="rId17" w:anchor="0" w:history="1">
        <w:r>
          <w:rPr>
            <w:rStyle w:val="Hipervnculo"/>
            <w:rFonts w:ascii="Arial" w:hAnsi="Arial" w:cs="Arial"/>
            <w:sz w:val="27"/>
            <w:szCs w:val="27"/>
          </w:rPr>
          <w:t>Reglamentado parcialmente por el Decreto Nacional 1117 de 2013</w:t>
        </w:r>
      </w:hyperlink>
      <w:r>
        <w:rPr>
          <w:rStyle w:val="nfasis"/>
          <w:rFonts w:ascii="Arial" w:hAnsi="Arial" w:cs="Arial"/>
          <w:color w:val="000000"/>
          <w:sz w:val="27"/>
          <w:szCs w:val="27"/>
        </w:rPr>
        <w:t>.</w:t>
      </w:r>
      <w:r>
        <w:rPr>
          <w:rStyle w:val="apple-converted-space"/>
          <w:rFonts w:ascii="Arial" w:hAnsi="Arial" w:cs="Arial"/>
          <w:i/>
          <w:iCs/>
          <w:color w:val="000000"/>
          <w:sz w:val="27"/>
          <w:szCs w:val="27"/>
        </w:rPr>
        <w:t> </w:t>
      </w:r>
      <w:r>
        <w:rPr>
          <w:rFonts w:ascii="Arial" w:hAnsi="Arial" w:cs="Arial"/>
          <w:color w:val="000000"/>
          <w:sz w:val="27"/>
          <w:szCs w:val="27"/>
        </w:rPr>
        <w:t>Los Institutos de Fomento y Desarrollo o las instituciones financieras de propiedad de las entidades territoriales podrán realizar operaciones activas de crédito con las entidades territoriales siempre y cuando lo hagan bajo los mismos parámetros que rigen para las entidades financieras vigiladas por la Superintendencia Bancaria.</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19</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Restricciones al apoyo de la Nación.</w:t>
      </w:r>
      <w:r>
        <w:rPr>
          <w:rStyle w:val="apple-converted-space"/>
          <w:rFonts w:ascii="Arial" w:hAnsi="Arial" w:cs="Arial"/>
          <w:i/>
          <w:iCs/>
          <w:color w:val="000000"/>
          <w:sz w:val="27"/>
          <w:szCs w:val="27"/>
        </w:rPr>
        <w:t> </w:t>
      </w:r>
      <w:r>
        <w:rPr>
          <w:rFonts w:ascii="Arial" w:hAnsi="Arial" w:cs="Arial"/>
          <w:color w:val="000000"/>
          <w:sz w:val="27"/>
          <w:szCs w:val="27"/>
        </w:rPr>
        <w:t>Sin perjuicio de las restricciones establecidas en otras normas, se prohíbe a la Nación otorgar apoyos financieros directos o indirectos a las entidades territoriales que no cumplan las disposiciones de la Ley 358 de 1997 y de la presente ley. En consecuencia, la Nación no podrá prestar recursos, cofinanciar proyectos, garantizar operaciones de crédito público o transferir cualquier clase de recursos, distintos de los señalados en la Constitución Política.</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20</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Límites al endeudamiento por deudas con la Nación.</w:t>
      </w:r>
      <w:r>
        <w:rPr>
          <w:rStyle w:val="apple-converted-space"/>
          <w:rFonts w:ascii="Arial" w:hAnsi="Arial" w:cs="Arial"/>
          <w:i/>
          <w:iCs/>
          <w:color w:val="000000"/>
          <w:sz w:val="27"/>
          <w:szCs w:val="27"/>
        </w:rPr>
        <w:t> </w:t>
      </w:r>
      <w:r>
        <w:rPr>
          <w:rFonts w:ascii="Arial" w:hAnsi="Arial" w:cs="Arial"/>
          <w:color w:val="000000"/>
          <w:sz w:val="27"/>
          <w:szCs w:val="27"/>
        </w:rPr>
        <w:t>Ninguna entidad territorial podrá realizar operaciones de crédito público que aumenten su endeudamiento neto cuando se encuentren en mora por operaciones de crédito público contratadas con el Gobierno Central Nacional o garantizadas por este.</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21</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Condiciones de crédito.</w:t>
      </w:r>
      <w:r>
        <w:rPr>
          <w:rStyle w:val="apple-converted-space"/>
          <w:rFonts w:ascii="Arial" w:hAnsi="Arial" w:cs="Arial"/>
          <w:i/>
          <w:iCs/>
          <w:color w:val="000000"/>
          <w:sz w:val="27"/>
          <w:szCs w:val="27"/>
        </w:rPr>
        <w:t> </w:t>
      </w:r>
      <w:r>
        <w:rPr>
          <w:rFonts w:ascii="Arial" w:hAnsi="Arial" w:cs="Arial"/>
          <w:color w:val="000000"/>
          <w:sz w:val="27"/>
          <w:szCs w:val="27"/>
        </w:rPr>
        <w:t>Las instituciones financieras y los institutos de fomento y desarrollo territorial para otorgar créditos a las entidades territoriales, exigirán el cumplimiento de las condiciones y límites que establecen la Ley 358 de 1997, la Ley 617 de 2000 y la presente ley. Los créditos concedidos a partir de la vigencia de la presente ley, en infracción de lo dispuesto, no tendrán validez y las entidades territoriales beneficiarias procederán a su cancelación mediante devolución del capital, quedando prohibido el pago de intereses y demás cargos financieros al acreedor. Mientras no se produzca la cancelación se aplicarán las restricciones establecidas en la presente ley.</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IV</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Otras disposiciones</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lastRenderedPageBreak/>
        <w:t>Artículo </w:t>
      </w:r>
      <w:bookmarkStart w:id="9" w:name="22"/>
      <w:r>
        <w:rPr>
          <w:rFonts w:ascii="Arial" w:hAnsi="Arial" w:cs="Arial"/>
          <w:b/>
          <w:bCs/>
          <w:color w:val="000000"/>
          <w:sz w:val="27"/>
          <w:szCs w:val="27"/>
        </w:rPr>
        <w:t> </w:t>
      </w:r>
      <w:bookmarkEnd w:id="9"/>
      <w:r>
        <w:rPr>
          <w:rFonts w:ascii="Arial" w:hAnsi="Arial" w:cs="Arial"/>
          <w:b/>
          <w:bCs/>
          <w:color w:val="000000"/>
          <w:sz w:val="27"/>
          <w:szCs w:val="27"/>
        </w:rPr>
        <w:t>22</w:t>
      </w:r>
      <w:r>
        <w:rPr>
          <w:rFonts w:ascii="Arial" w:hAnsi="Arial" w:cs="Arial"/>
          <w:color w:val="000000"/>
          <w:sz w:val="27"/>
          <w:szCs w:val="27"/>
        </w:rPr>
        <w:t>.  </w:t>
      </w:r>
      <w:r>
        <w:rPr>
          <w:rStyle w:val="Textoennegrita"/>
          <w:rFonts w:ascii="Arial" w:hAnsi="Arial" w:cs="Arial"/>
          <w:color w:val="000000"/>
          <w:sz w:val="27"/>
          <w:szCs w:val="27"/>
        </w:rPr>
        <w:t>INEXEQUIBLE</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Responsabilidad en las reclamaciones ante entidades públicas en liquidación.</w:t>
      </w:r>
      <w:r>
        <w:rPr>
          <w:rStyle w:val="apple-converted-space"/>
          <w:rFonts w:ascii="Arial" w:hAnsi="Arial" w:cs="Arial"/>
          <w:i/>
          <w:iCs/>
          <w:color w:val="000000"/>
          <w:sz w:val="27"/>
          <w:szCs w:val="27"/>
        </w:rPr>
        <w:t> </w:t>
      </w:r>
      <w:r>
        <w:rPr>
          <w:rFonts w:ascii="Arial" w:hAnsi="Arial" w:cs="Arial"/>
          <w:color w:val="000000"/>
          <w:sz w:val="27"/>
          <w:szCs w:val="27"/>
        </w:rPr>
        <w:t>Las acciones que emanen de las leyes sociales tal como lo señala el artículo 151 del Código de Procedimiento Laboral, prescribirán en tres (3) años, contados desde que la respectiva obligación se haya hecho exigible. Sin embargo, tratándose de entidades públicas en liquidación, las reclamaciones administrativas que se presenten ante estas sobre estos derechos sólo podrán presentarse dentro de los seis (6) meses siguientes a la fecha de publicación del último aviso de emplazamiento. Es obligación del liquidador incluir en el inventario de la liquidación, la totalidad de las obligaciones contingentes que surjan de las reclamaciones que se presenten dentro de este término y con posterioridad se abstendrá de dar trámite a las reclamaciones extemporáneas. Para iniciar acción judicial se requiere haber hecho en forma oportuna la reclamación administrativa correspondiente.</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Para el efecto del emplazamiento de que trata este artículo, se publicarán dos (2) avisos en un diario de amplia circulación nacional y en otro del domicilio principal de la entidad liquidada, durante dos (2) semanas consecutivas, con un intervalo no inferior a quince (15) días calendario.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En aquellas entidades en que a la fecha de entrar a regir la presente ley se encuentren en proceso de liquidación o aquellas que hubieren asumido las obligaciones de entidades ya liquidadas, deberá surtirse el procedimiento señalado en este artículo. En este caso, el emplazamiento deberá surtirse a más tardar dentro de los seis (6) meses siguientes a la vigencia de la presente ley.</w:t>
      </w:r>
    </w:p>
    <w:p w:rsidR="009A5175" w:rsidRDefault="00B91804" w:rsidP="009A5175">
      <w:pPr>
        <w:pStyle w:val="NormalWeb"/>
        <w:shd w:val="clear" w:color="auto" w:fill="FFFFFF"/>
        <w:rPr>
          <w:rFonts w:ascii="Arial" w:hAnsi="Arial" w:cs="Arial"/>
          <w:color w:val="000000"/>
          <w:sz w:val="27"/>
          <w:szCs w:val="27"/>
        </w:rPr>
      </w:pPr>
      <w:hyperlink r:id="rId18" w:anchor="0" w:history="1">
        <w:r w:rsidR="009A5175">
          <w:rPr>
            <w:rStyle w:val="Hipervnculo"/>
            <w:rFonts w:ascii="Arial" w:hAnsi="Arial" w:cs="Arial"/>
            <w:sz w:val="27"/>
            <w:szCs w:val="27"/>
          </w:rPr>
          <w:t>Corte Constitucional Sentencia C-460 de 2004</w:t>
        </w:r>
      </w:hyperlink>
      <w:r w:rsidR="009A5175">
        <w:rPr>
          <w:rStyle w:val="apple-converted-space"/>
          <w:rFonts w:ascii="Arial" w:hAnsi="Arial" w:cs="Arial"/>
          <w:color w:val="000000"/>
          <w:sz w:val="27"/>
          <w:szCs w:val="27"/>
        </w:rPr>
        <w:t> </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23</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Cobro coactivo de excedentes.</w:t>
      </w:r>
      <w:r>
        <w:rPr>
          <w:rStyle w:val="apple-converted-space"/>
          <w:rFonts w:ascii="Arial" w:hAnsi="Arial" w:cs="Arial"/>
          <w:i/>
          <w:iCs/>
          <w:color w:val="000000"/>
          <w:sz w:val="27"/>
          <w:szCs w:val="27"/>
        </w:rPr>
        <w:t> </w:t>
      </w:r>
      <w:r>
        <w:rPr>
          <w:rFonts w:ascii="Arial" w:hAnsi="Arial" w:cs="Arial"/>
          <w:color w:val="000000"/>
          <w:sz w:val="27"/>
          <w:szCs w:val="27"/>
        </w:rPr>
        <w:t xml:space="preserve">Los documentos que el Consejo Nacional de Política Económica y Social, </w:t>
      </w:r>
      <w:proofErr w:type="spellStart"/>
      <w:r>
        <w:rPr>
          <w:rFonts w:ascii="Arial" w:hAnsi="Arial" w:cs="Arial"/>
          <w:color w:val="000000"/>
          <w:sz w:val="27"/>
          <w:szCs w:val="27"/>
        </w:rPr>
        <w:t>Conpes</w:t>
      </w:r>
      <w:proofErr w:type="spellEnd"/>
      <w:r>
        <w:rPr>
          <w:rFonts w:ascii="Arial" w:hAnsi="Arial" w:cs="Arial"/>
          <w:color w:val="000000"/>
          <w:sz w:val="27"/>
          <w:szCs w:val="27"/>
        </w:rPr>
        <w:t xml:space="preserve">, expida en virtud de </w:t>
      </w:r>
      <w:proofErr w:type="spellStart"/>
      <w:r>
        <w:rPr>
          <w:rFonts w:ascii="Arial" w:hAnsi="Arial" w:cs="Arial"/>
          <w:color w:val="000000"/>
          <w:sz w:val="27"/>
          <w:szCs w:val="27"/>
        </w:rPr>
        <w:t>l os</w:t>
      </w:r>
      <w:proofErr w:type="spellEnd"/>
      <w:r>
        <w:rPr>
          <w:rFonts w:ascii="Arial" w:hAnsi="Arial" w:cs="Arial"/>
          <w:color w:val="000000"/>
          <w:sz w:val="27"/>
          <w:szCs w:val="27"/>
        </w:rPr>
        <w:t xml:space="preserve"> artículos 5º y 6º de la Ley 225 de 1995, prestarán mérito ejecutivo para el cobro del capital y sus correspondientes intereses de mora. Para la determinación de la cuantía de los intereses de mora, el </w:t>
      </w:r>
      <w:proofErr w:type="spellStart"/>
      <w:r>
        <w:rPr>
          <w:rFonts w:ascii="Arial" w:hAnsi="Arial" w:cs="Arial"/>
          <w:color w:val="000000"/>
          <w:sz w:val="27"/>
          <w:szCs w:val="27"/>
        </w:rPr>
        <w:t>Conpes</w:t>
      </w:r>
      <w:proofErr w:type="spellEnd"/>
      <w:r>
        <w:rPr>
          <w:rFonts w:ascii="Arial" w:hAnsi="Arial" w:cs="Arial"/>
          <w:color w:val="000000"/>
          <w:sz w:val="27"/>
          <w:szCs w:val="27"/>
        </w:rPr>
        <w:t xml:space="preserve"> solicitará la información respectiva a la Dirección General del Tesoro Nacional del Ministerio de Hacienda y Crédito Público.</w:t>
      </w:r>
    </w:p>
    <w:p w:rsidR="009A5175" w:rsidRDefault="009A5175" w:rsidP="009A5175">
      <w:pPr>
        <w:pStyle w:val="NormalWeb"/>
        <w:shd w:val="clear" w:color="auto" w:fill="FFFFFF"/>
        <w:rPr>
          <w:rFonts w:ascii="Arial" w:hAnsi="Arial" w:cs="Arial"/>
          <w:color w:val="000000"/>
          <w:sz w:val="27"/>
          <w:szCs w:val="27"/>
        </w:rPr>
      </w:pPr>
      <w:r>
        <w:rPr>
          <w:rFonts w:ascii="Arial" w:hAnsi="Arial" w:cs="Arial"/>
          <w:color w:val="000000"/>
          <w:sz w:val="27"/>
          <w:szCs w:val="27"/>
        </w:rPr>
        <w:t>En estos casos el Ministerio de Hacienda y Crédito Público es la entidad competente para adelantar la actuación de cobro coactivo.</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lastRenderedPageBreak/>
        <w:t>Artículo 24</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Representación de los intereses de la Nación en empresas de servicios públicos domiciliarios.</w:t>
      </w:r>
      <w:r>
        <w:rPr>
          <w:rStyle w:val="apple-converted-space"/>
          <w:rFonts w:ascii="Arial" w:hAnsi="Arial" w:cs="Arial"/>
          <w:i/>
          <w:iCs/>
          <w:color w:val="000000"/>
          <w:sz w:val="27"/>
          <w:szCs w:val="27"/>
        </w:rPr>
        <w:t> </w:t>
      </w:r>
      <w:r>
        <w:rPr>
          <w:rFonts w:ascii="Arial" w:hAnsi="Arial" w:cs="Arial"/>
          <w:color w:val="000000"/>
          <w:sz w:val="27"/>
          <w:szCs w:val="27"/>
        </w:rPr>
        <w:t>En las asambleas y juntas directivas de las empresas de servicios públicos en las cuales la Nación tenga participación accionaria, los intereses de la Nación serán representados por funcionarios de la planta de personal del Ministerio de Hacienda y Crédito Público. Estos funcionarios deberán rendir informes sobre las decisiones en las que hubieran participado cuando le sean solicitados por el Ministro.</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25</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Responsabilidad fiscal en restructuraciones de cartera.</w:t>
      </w:r>
      <w:r>
        <w:rPr>
          <w:rStyle w:val="apple-converted-space"/>
          <w:rFonts w:ascii="Arial" w:hAnsi="Arial" w:cs="Arial"/>
          <w:i/>
          <w:iCs/>
          <w:color w:val="000000"/>
          <w:sz w:val="27"/>
          <w:szCs w:val="27"/>
        </w:rPr>
        <w:t> </w:t>
      </w:r>
      <w:r>
        <w:rPr>
          <w:rFonts w:ascii="Arial" w:hAnsi="Arial" w:cs="Arial"/>
          <w:color w:val="000000"/>
          <w:sz w:val="27"/>
          <w:szCs w:val="27"/>
        </w:rPr>
        <w:t>Las entidades financieras de carácter público al efectuar reestructuraciones de créditos, rebajas o condonaciones de intereses a sus deudores morosos deberán realizarlo conforme a las condiciones generales del mercado financiero y con la finalidad de: recuperar su cartera, evitar el deterioro de su estructura financiera y presupuestal y, propender por la defensa, rentabilidad y recuperación del patrimonio público.</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26</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Incumplimiento.</w:t>
      </w:r>
      <w:r>
        <w:rPr>
          <w:rStyle w:val="apple-converted-space"/>
          <w:rFonts w:ascii="Arial" w:hAnsi="Arial" w:cs="Arial"/>
          <w:i/>
          <w:iCs/>
          <w:color w:val="000000"/>
          <w:sz w:val="27"/>
          <w:szCs w:val="27"/>
        </w:rPr>
        <w:t> </w:t>
      </w:r>
      <w:r>
        <w:rPr>
          <w:rFonts w:ascii="Arial" w:hAnsi="Arial" w:cs="Arial"/>
          <w:color w:val="000000"/>
          <w:sz w:val="27"/>
          <w:szCs w:val="27"/>
        </w:rPr>
        <w:t>El incumplimiento de la presente ley por parte de los servidores públicos responsables, en el correspondiente nivel de la administración pública, será considerado como falta disciplinaria, conforme a lo dispuesto por la Ley 734 de 2002 para el efecto.</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27</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Capacitación y asistencia técnica a las entidades territoriales</w:t>
      </w:r>
      <w:r>
        <w:rPr>
          <w:rFonts w:ascii="Arial" w:hAnsi="Arial" w:cs="Arial"/>
          <w:color w:val="000000"/>
          <w:sz w:val="27"/>
          <w:szCs w:val="27"/>
        </w:rPr>
        <w:t>. Para la debida aplicación de la presente ley, estará a cargo del Ministerio de Hacienda y Crédito Público y del Departamento Nacional de Planeación, la capacitación y asistencia técnica a las entidades territoriales.</w:t>
      </w:r>
    </w:p>
    <w:p w:rsidR="009A5175" w:rsidRDefault="009A5175" w:rsidP="009A5175">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28</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Vigencia y derogatorias.</w:t>
      </w:r>
      <w:r>
        <w:rPr>
          <w:rStyle w:val="apple-converted-space"/>
          <w:rFonts w:ascii="Arial" w:hAnsi="Arial" w:cs="Arial"/>
          <w:i/>
          <w:iCs/>
          <w:color w:val="000000"/>
          <w:sz w:val="27"/>
          <w:szCs w:val="27"/>
        </w:rPr>
        <w:t> </w:t>
      </w:r>
      <w:r>
        <w:rPr>
          <w:rFonts w:ascii="Arial" w:hAnsi="Arial" w:cs="Arial"/>
          <w:color w:val="000000"/>
          <w:sz w:val="27"/>
          <w:szCs w:val="27"/>
        </w:rPr>
        <w:t>La presente ley rige a partir de la fecha de su promulgación.</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Presidente del honorable Senado de la República,</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Luis Alfredo Ramos Botero.</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Secretario General del honorable Senado de la República,</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 xml:space="preserve">Emilio Ramón Otero </w:t>
      </w:r>
      <w:proofErr w:type="spellStart"/>
      <w:r>
        <w:rPr>
          <w:rFonts w:ascii="Arial" w:hAnsi="Arial" w:cs="Arial"/>
          <w:b/>
          <w:bCs/>
          <w:color w:val="000000"/>
          <w:sz w:val="27"/>
          <w:szCs w:val="27"/>
          <w:shd w:val="clear" w:color="auto" w:fill="FFFFFF"/>
        </w:rPr>
        <w:t>Dajud</w:t>
      </w:r>
      <w:proofErr w:type="spellEnd"/>
      <w:r>
        <w:rPr>
          <w:rFonts w:ascii="Arial" w:hAnsi="Arial" w:cs="Arial"/>
          <w:b/>
          <w:bCs/>
          <w:color w:val="000000"/>
          <w:sz w:val="27"/>
          <w:szCs w:val="27"/>
          <w:shd w:val="clear" w:color="auto" w:fill="FFFFFF"/>
        </w:rPr>
        <w:t>.</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Presidente de la honorable Cámara de Representantes,</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lastRenderedPageBreak/>
        <w:t>William Vélez Mesa.</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Secretario General de la honorable Cámara de Representantes,</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Angelino Lizcano Rivera.</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REPUBLICA DE COLOMBIA -GOBIERNO NACIONAL</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Publíquese y cúmplase.</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Dada en Bogotá, D. C., a 9 de julio de 2003.</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ÁLVARO URIBE VÉLEZ</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Ministro de Hacienda y Crédito Público,</w:t>
      </w:r>
    </w:p>
    <w:p w:rsidR="009A5175" w:rsidRDefault="009A5175" w:rsidP="009A5175">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Alberto Carrasquilla Barrera.</w:t>
      </w:r>
    </w:p>
    <w:p w:rsidR="00112C06" w:rsidRPr="009A5175" w:rsidRDefault="00112C06" w:rsidP="009A5175"/>
    <w:sectPr w:rsidR="00112C06" w:rsidRPr="009A5175" w:rsidSect="00112C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B5"/>
    <w:rsid w:val="00112C06"/>
    <w:rsid w:val="001461E4"/>
    <w:rsid w:val="003F7509"/>
    <w:rsid w:val="005C7D88"/>
    <w:rsid w:val="006E75B5"/>
    <w:rsid w:val="009A5175"/>
    <w:rsid w:val="00B918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002C0-4144-4B8F-B0B7-346B8842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75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E75B5"/>
    <w:rPr>
      <w:b/>
      <w:bCs/>
    </w:rPr>
  </w:style>
  <w:style w:type="character" w:styleId="Hipervnculo">
    <w:name w:val="Hyperlink"/>
    <w:basedOn w:val="Fuentedeprrafopredeter"/>
    <w:uiPriority w:val="99"/>
    <w:semiHidden/>
    <w:unhideWhenUsed/>
    <w:rsid w:val="006E75B5"/>
    <w:rPr>
      <w:color w:val="0000FF"/>
      <w:u w:val="single"/>
    </w:rPr>
  </w:style>
  <w:style w:type="character" w:customStyle="1" w:styleId="apple-converted-space">
    <w:name w:val="apple-converted-space"/>
    <w:basedOn w:val="Fuentedeprrafopredeter"/>
    <w:rsid w:val="006E75B5"/>
  </w:style>
  <w:style w:type="character" w:styleId="nfasis">
    <w:name w:val="Emphasis"/>
    <w:basedOn w:val="Fuentedeprrafopredeter"/>
    <w:uiPriority w:val="20"/>
    <w:qFormat/>
    <w:rsid w:val="009A5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145515">
      <w:bodyDiv w:val="1"/>
      <w:marLeft w:val="0"/>
      <w:marRight w:val="0"/>
      <w:marTop w:val="0"/>
      <w:marBottom w:val="0"/>
      <w:divBdr>
        <w:top w:val="none" w:sz="0" w:space="0" w:color="auto"/>
        <w:left w:val="none" w:sz="0" w:space="0" w:color="auto"/>
        <w:bottom w:val="none" w:sz="0" w:space="0" w:color="auto"/>
        <w:right w:val="none" w:sz="0" w:space="0" w:color="auto"/>
      </w:divBdr>
    </w:div>
    <w:div w:id="993341503">
      <w:bodyDiv w:val="1"/>
      <w:marLeft w:val="0"/>
      <w:marRight w:val="0"/>
      <w:marTop w:val="0"/>
      <w:marBottom w:val="0"/>
      <w:divBdr>
        <w:top w:val="none" w:sz="0" w:space="0" w:color="auto"/>
        <w:left w:val="none" w:sz="0" w:space="0" w:color="auto"/>
        <w:bottom w:val="none" w:sz="0" w:space="0" w:color="auto"/>
        <w:right w:val="none" w:sz="0" w:space="0" w:color="auto"/>
      </w:divBdr>
    </w:div>
    <w:div w:id="20087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0873" TargetMode="External"/><Relationship Id="rId13" Type="http://schemas.openxmlformats.org/officeDocument/2006/relationships/hyperlink" Target="http://www.alcaldiabogota.gov.co/sisjur/normas/Norma1.jsp?i=43584" TargetMode="External"/><Relationship Id="rId18" Type="http://schemas.openxmlformats.org/officeDocument/2006/relationships/hyperlink" Target="http://www.alcaldiabogota.gov.co/sisjur/normas/Norma1.jsp?i=14122" TargetMode="External"/><Relationship Id="rId3" Type="http://schemas.openxmlformats.org/officeDocument/2006/relationships/webSettings" Target="webSettings.xml"/><Relationship Id="rId7" Type="http://schemas.openxmlformats.org/officeDocument/2006/relationships/hyperlink" Target="http://www.alcaldiabogota.gov.co/sisjur/normas/Norma1.jsp?i=44949" TargetMode="External"/><Relationship Id="rId12" Type="http://schemas.openxmlformats.org/officeDocument/2006/relationships/hyperlink" Target="http://www.alcaldiabogota.gov.co/sisjur/normas/Norma1.jsp?i=14847" TargetMode="External"/><Relationship Id="rId17" Type="http://schemas.openxmlformats.org/officeDocument/2006/relationships/hyperlink" Target="http://www.alcaldiabogota.gov.co/sisjur/normas/Norma1.jsp?i=53347" TargetMode="External"/><Relationship Id="rId2" Type="http://schemas.openxmlformats.org/officeDocument/2006/relationships/settings" Target="settings.xml"/><Relationship Id="rId16" Type="http://schemas.openxmlformats.org/officeDocument/2006/relationships/hyperlink" Target="http://www.alcaldiabogota.gov.co/sisjur/normas/Norma1.jsp?i=5334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caldiabogota.gov.co/sisjur/normas/Norma1.jsp?i=43210" TargetMode="External"/><Relationship Id="rId11" Type="http://schemas.openxmlformats.org/officeDocument/2006/relationships/hyperlink" Target="http://www.alcaldiabogota.gov.co/sisjur/normas/Norma1.jsp?i=13975" TargetMode="External"/><Relationship Id="rId5" Type="http://schemas.openxmlformats.org/officeDocument/2006/relationships/hyperlink" Target="http://www.alcaldiabogota.gov.co/sisjur/normas/Norma1.jsp?i=41030" TargetMode="External"/><Relationship Id="rId15" Type="http://schemas.openxmlformats.org/officeDocument/2006/relationships/hyperlink" Target="http://www.alcaldiabogota.gov.co/sisjur/normas/Norma1.jsp?i=43584" TargetMode="External"/><Relationship Id="rId10" Type="http://schemas.openxmlformats.org/officeDocument/2006/relationships/hyperlink" Target="http://www.alcaldiabogota.gov.co/sisjur/normas/Norma1.jsp?i=6091" TargetMode="External"/><Relationship Id="rId19" Type="http://schemas.openxmlformats.org/officeDocument/2006/relationships/fontTable" Target="fontTable.xml"/><Relationship Id="rId4" Type="http://schemas.openxmlformats.org/officeDocument/2006/relationships/hyperlink" Target="http://www.alcaldiabogota.gov.co/normas/Norma1.jsp?i=5306" TargetMode="External"/><Relationship Id="rId9" Type="http://schemas.openxmlformats.org/officeDocument/2006/relationships/hyperlink" Target="http://www.alcaldiabogota.gov.co/sisjur/normas/Norma1.jsp?i=18011" TargetMode="External"/><Relationship Id="rId14" Type="http://schemas.openxmlformats.org/officeDocument/2006/relationships/hyperlink" Target="http://www.alcaldiabogota.gov.co/sisjur/normas/Norma1.jsp?i=437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4342</Words>
  <Characters>23884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ymrincon</dc:creator>
  <cp:lastModifiedBy>Cristian Ricardo Ochoa Guio</cp:lastModifiedBy>
  <cp:revision>2</cp:revision>
  <dcterms:created xsi:type="dcterms:W3CDTF">2022-09-22T19:19:00Z</dcterms:created>
  <dcterms:modified xsi:type="dcterms:W3CDTF">2022-09-22T19:19:00Z</dcterms:modified>
</cp:coreProperties>
</file>